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3CBE" w14:textId="6276CD92" w:rsidR="00490649" w:rsidRDefault="00CE48FE" w:rsidP="00490649">
      <w:pPr>
        <w:pStyle w:val="Ingetavstnd"/>
        <w:jc w:val="center"/>
        <w:rPr>
          <w:rFonts w:ascii="Arial Narrow" w:hAnsi="Arial Narrow"/>
          <w:b/>
          <w:sz w:val="24"/>
          <w:szCs w:val="20"/>
          <w:lang w:val="en-GB"/>
        </w:rPr>
      </w:pPr>
      <w:r>
        <w:rPr>
          <w:rFonts w:ascii="Arial Narrow" w:hAnsi="Arial Narrow"/>
          <w:b/>
          <w:sz w:val="24"/>
          <w:szCs w:val="20"/>
          <w:lang w:val="en-GB"/>
        </w:rPr>
        <w:t>IO3 Capacity B</w:t>
      </w:r>
      <w:r w:rsidRPr="00CE48FE">
        <w:rPr>
          <w:rFonts w:ascii="Arial Narrow" w:hAnsi="Arial Narrow"/>
          <w:b/>
          <w:sz w:val="24"/>
          <w:szCs w:val="20"/>
          <w:lang w:val="en-GB"/>
        </w:rPr>
        <w:t>uilding</w:t>
      </w:r>
    </w:p>
    <w:p w14:paraId="7572E790" w14:textId="77777777" w:rsidR="00490649" w:rsidRPr="00490649" w:rsidRDefault="00490649" w:rsidP="00490649">
      <w:pPr>
        <w:pStyle w:val="Ingetavstnd"/>
        <w:jc w:val="center"/>
        <w:rPr>
          <w:rFonts w:ascii="Arial Narrow" w:hAnsi="Arial Narrow" w:cs="Arial"/>
          <w:sz w:val="24"/>
          <w:szCs w:val="20"/>
          <w:lang w:val="en-GB"/>
        </w:rPr>
      </w:pPr>
    </w:p>
    <w:p w14:paraId="7F8FF959" w14:textId="77777777" w:rsidR="002C1709" w:rsidRDefault="002C1709" w:rsidP="002C1709">
      <w:pPr>
        <w:pStyle w:val="Rubrik2"/>
        <w:jc w:val="both"/>
        <w:rPr>
          <w:rFonts w:ascii="Arial Narrow" w:eastAsiaTheme="minorHAnsi" w:hAnsi="Arial Narrow" w:cs="Arial"/>
          <w:b w:val="0"/>
          <w:bCs w:val="0"/>
          <w:color w:val="auto"/>
          <w:sz w:val="20"/>
          <w:szCs w:val="20"/>
          <w:lang w:val="en-GB"/>
        </w:rPr>
      </w:pPr>
      <w:r>
        <w:rPr>
          <w:rFonts w:ascii="Arial Narrow" w:eastAsiaTheme="minorHAnsi" w:hAnsi="Arial Narrow" w:cs="Arial"/>
          <w:b w:val="0"/>
          <w:bCs w:val="0"/>
          <w:color w:val="auto"/>
          <w:sz w:val="20"/>
          <w:szCs w:val="20"/>
          <w:lang w:val="en-GB"/>
        </w:rPr>
        <w:t>When education (students and</w:t>
      </w:r>
      <w:r w:rsidRPr="002C1709">
        <w:rPr>
          <w:rFonts w:ascii="Arial Narrow" w:eastAsiaTheme="minorHAnsi" w:hAnsi="Arial Narrow" w:cs="Arial"/>
          <w:b w:val="0"/>
          <w:bCs w:val="0"/>
          <w:color w:val="auto"/>
          <w:sz w:val="20"/>
          <w:szCs w:val="20"/>
          <w:lang w:val="en-GB"/>
        </w:rPr>
        <w:t xml:space="preserve"> teachers), entrepreneurs and professionals from governments and social organizations want to find solutions together for issues from the region, every stakeholder must look at what needs to be done for his own organization (supporters) to make this working m</w:t>
      </w:r>
      <w:r>
        <w:rPr>
          <w:rFonts w:ascii="Arial Narrow" w:eastAsiaTheme="minorHAnsi" w:hAnsi="Arial Narrow" w:cs="Arial"/>
          <w:b w:val="0"/>
          <w:bCs w:val="0"/>
          <w:color w:val="auto"/>
          <w:sz w:val="20"/>
          <w:szCs w:val="20"/>
          <w:lang w:val="en-GB"/>
        </w:rPr>
        <w:t>ethod a success. This means</w:t>
      </w:r>
      <w:r w:rsidRPr="002C1709">
        <w:rPr>
          <w:rFonts w:ascii="Arial Narrow" w:eastAsiaTheme="minorHAnsi" w:hAnsi="Arial Narrow" w:cs="Arial"/>
          <w:b w:val="0"/>
          <w:bCs w:val="0"/>
          <w:color w:val="auto"/>
          <w:sz w:val="20"/>
          <w:szCs w:val="20"/>
          <w:lang w:val="en-GB"/>
        </w:rPr>
        <w:t xml:space="preserve"> first</w:t>
      </w:r>
      <w:r>
        <w:rPr>
          <w:rFonts w:ascii="Arial Narrow" w:eastAsiaTheme="minorHAnsi" w:hAnsi="Arial Narrow" w:cs="Arial"/>
          <w:b w:val="0"/>
          <w:bCs w:val="0"/>
          <w:color w:val="auto"/>
          <w:sz w:val="20"/>
          <w:szCs w:val="20"/>
          <w:lang w:val="en-GB"/>
        </w:rPr>
        <w:t>ly the mapping</w:t>
      </w:r>
      <w:r w:rsidRPr="002C1709">
        <w:rPr>
          <w:rFonts w:ascii="Arial Narrow" w:eastAsiaTheme="minorHAnsi" w:hAnsi="Arial Narrow" w:cs="Arial"/>
          <w:b w:val="0"/>
          <w:bCs w:val="0"/>
          <w:color w:val="auto"/>
          <w:sz w:val="20"/>
          <w:szCs w:val="20"/>
          <w:lang w:val="en-GB"/>
        </w:rPr>
        <w:t xml:space="preserve"> out </w:t>
      </w:r>
      <w:r>
        <w:rPr>
          <w:rFonts w:ascii="Arial Narrow" w:eastAsiaTheme="minorHAnsi" w:hAnsi="Arial Narrow" w:cs="Arial"/>
          <w:b w:val="0"/>
          <w:bCs w:val="0"/>
          <w:color w:val="auto"/>
          <w:sz w:val="20"/>
          <w:szCs w:val="20"/>
          <w:lang w:val="en-GB"/>
        </w:rPr>
        <w:t>the</w:t>
      </w:r>
      <w:r w:rsidRPr="002C1709">
        <w:rPr>
          <w:rFonts w:ascii="Arial Narrow" w:eastAsiaTheme="minorHAnsi" w:hAnsi="Arial Narrow" w:cs="Arial"/>
          <w:b w:val="0"/>
          <w:bCs w:val="0"/>
          <w:color w:val="auto"/>
          <w:sz w:val="20"/>
          <w:szCs w:val="20"/>
          <w:lang w:val="en-GB"/>
        </w:rPr>
        <w:t xml:space="preserve"> own initial situation (capacity, educational goals, etc.). After that, the own agenda is formed, and then the shared agenda is determ</w:t>
      </w:r>
      <w:r>
        <w:rPr>
          <w:rFonts w:ascii="Arial Narrow" w:eastAsiaTheme="minorHAnsi" w:hAnsi="Arial Narrow" w:cs="Arial"/>
          <w:b w:val="0"/>
          <w:bCs w:val="0"/>
          <w:color w:val="auto"/>
          <w:sz w:val="20"/>
          <w:szCs w:val="20"/>
          <w:lang w:val="en-GB"/>
        </w:rPr>
        <w:t>ined together with the partners.</w:t>
      </w:r>
    </w:p>
    <w:p w14:paraId="149E4C62" w14:textId="37EE47C3" w:rsidR="002C1709" w:rsidRDefault="002C1709" w:rsidP="002C1709">
      <w:pPr>
        <w:pStyle w:val="Rubrik2"/>
        <w:jc w:val="both"/>
        <w:rPr>
          <w:rFonts w:ascii="Arial Narrow" w:eastAsiaTheme="minorHAnsi" w:hAnsi="Arial Narrow" w:cs="Arial"/>
          <w:b w:val="0"/>
          <w:bCs w:val="0"/>
          <w:color w:val="auto"/>
          <w:sz w:val="20"/>
          <w:szCs w:val="20"/>
          <w:lang w:val="en-GB"/>
        </w:rPr>
      </w:pPr>
      <w:r>
        <w:rPr>
          <w:rFonts w:ascii="Arial Narrow" w:eastAsiaTheme="minorHAnsi" w:hAnsi="Arial Narrow" w:cs="Arial"/>
          <w:b w:val="0"/>
          <w:bCs w:val="0"/>
          <w:color w:val="auto"/>
          <w:sz w:val="20"/>
          <w:szCs w:val="20"/>
          <w:lang w:val="en-GB"/>
        </w:rPr>
        <w:t>However, before starting this exercise, all actors whom want to be a part of the network must have a special mindset and commitment.</w:t>
      </w:r>
    </w:p>
    <w:p w14:paraId="5C66E354" w14:textId="77777777" w:rsidR="002C1709" w:rsidRDefault="002C1709" w:rsidP="00E945DB">
      <w:pPr>
        <w:pStyle w:val="Rubrik2"/>
        <w:numPr>
          <w:ilvl w:val="0"/>
          <w:numId w:val="2"/>
        </w:numPr>
        <w:jc w:val="both"/>
        <w:rPr>
          <w:rFonts w:ascii="Arial Narrow" w:eastAsiaTheme="minorHAnsi" w:hAnsi="Arial Narrow" w:cs="Arial"/>
          <w:b w:val="0"/>
          <w:bCs w:val="0"/>
          <w:color w:val="auto"/>
          <w:sz w:val="20"/>
          <w:szCs w:val="20"/>
          <w:lang w:val="en-GB"/>
        </w:rPr>
      </w:pPr>
      <w:r w:rsidRPr="002C1709">
        <w:rPr>
          <w:rFonts w:ascii="Arial Narrow" w:eastAsiaTheme="minorHAnsi" w:hAnsi="Arial Narrow" w:cs="Arial"/>
          <w:b w:val="0"/>
          <w:bCs w:val="0"/>
          <w:color w:val="auto"/>
          <w:sz w:val="20"/>
          <w:szCs w:val="20"/>
          <w:lang w:val="en-GB"/>
        </w:rPr>
        <w:t>be open and transparent</w:t>
      </w:r>
    </w:p>
    <w:p w14:paraId="36ECBF2D" w14:textId="0F55749A" w:rsidR="002C1709" w:rsidRPr="002C1709" w:rsidRDefault="002C1709" w:rsidP="002C1709">
      <w:pPr>
        <w:pStyle w:val="Rubrik2"/>
        <w:numPr>
          <w:ilvl w:val="0"/>
          <w:numId w:val="2"/>
        </w:numPr>
        <w:spacing w:before="0"/>
        <w:ind w:left="714" w:hanging="357"/>
        <w:jc w:val="both"/>
        <w:rPr>
          <w:rFonts w:ascii="Arial Narrow" w:eastAsiaTheme="minorHAnsi" w:hAnsi="Arial Narrow" w:cs="Arial"/>
          <w:b w:val="0"/>
          <w:bCs w:val="0"/>
          <w:color w:val="auto"/>
          <w:sz w:val="20"/>
          <w:szCs w:val="20"/>
          <w:lang w:val="en-GB"/>
        </w:rPr>
      </w:pPr>
      <w:r w:rsidRPr="002C1709">
        <w:rPr>
          <w:rFonts w:ascii="Arial Narrow" w:eastAsiaTheme="minorHAnsi" w:hAnsi="Arial Narrow" w:cs="Arial"/>
          <w:b w:val="0"/>
          <w:bCs w:val="0"/>
          <w:color w:val="auto"/>
          <w:sz w:val="20"/>
          <w:szCs w:val="20"/>
          <w:lang w:val="en-GB"/>
        </w:rPr>
        <w:t>stick to the agreements</w:t>
      </w:r>
    </w:p>
    <w:p w14:paraId="336EED1A" w14:textId="76995107" w:rsidR="002C1709" w:rsidRPr="002C1709" w:rsidRDefault="002C1709" w:rsidP="002C1709">
      <w:pPr>
        <w:pStyle w:val="Rubrik2"/>
        <w:numPr>
          <w:ilvl w:val="0"/>
          <w:numId w:val="2"/>
        </w:numPr>
        <w:spacing w:before="0"/>
        <w:ind w:left="714" w:hanging="357"/>
        <w:jc w:val="both"/>
        <w:rPr>
          <w:rFonts w:ascii="Arial Narrow" w:eastAsiaTheme="minorHAnsi" w:hAnsi="Arial Narrow" w:cs="Arial"/>
          <w:b w:val="0"/>
          <w:bCs w:val="0"/>
          <w:color w:val="auto"/>
          <w:sz w:val="20"/>
          <w:szCs w:val="20"/>
          <w:lang w:val="en-GB"/>
        </w:rPr>
      </w:pPr>
      <w:r w:rsidRPr="002C1709">
        <w:rPr>
          <w:rFonts w:ascii="Arial Narrow" w:eastAsiaTheme="minorHAnsi" w:hAnsi="Arial Narrow" w:cs="Arial"/>
          <w:b w:val="0"/>
          <w:bCs w:val="0"/>
          <w:color w:val="auto"/>
          <w:sz w:val="20"/>
          <w:szCs w:val="20"/>
          <w:lang w:val="en-GB"/>
        </w:rPr>
        <w:t>inform each other on time and regularly</w:t>
      </w:r>
    </w:p>
    <w:p w14:paraId="418ACA6C" w14:textId="475009B2" w:rsidR="002C1709" w:rsidRPr="002C1709" w:rsidRDefault="002C1709" w:rsidP="002C1709">
      <w:pPr>
        <w:pStyle w:val="Rubrik2"/>
        <w:numPr>
          <w:ilvl w:val="0"/>
          <w:numId w:val="2"/>
        </w:numPr>
        <w:spacing w:before="0"/>
        <w:ind w:left="714" w:hanging="357"/>
        <w:jc w:val="both"/>
        <w:rPr>
          <w:rFonts w:ascii="Arial Narrow" w:eastAsiaTheme="minorHAnsi" w:hAnsi="Arial Narrow" w:cs="Arial"/>
          <w:b w:val="0"/>
          <w:bCs w:val="0"/>
          <w:color w:val="auto"/>
          <w:sz w:val="20"/>
          <w:szCs w:val="20"/>
          <w:lang w:val="en-GB"/>
        </w:rPr>
      </w:pPr>
      <w:r w:rsidRPr="002C1709">
        <w:rPr>
          <w:rFonts w:ascii="Arial Narrow" w:eastAsiaTheme="minorHAnsi" w:hAnsi="Arial Narrow" w:cs="Arial"/>
          <w:b w:val="0"/>
          <w:bCs w:val="0"/>
          <w:color w:val="auto"/>
          <w:sz w:val="20"/>
          <w:szCs w:val="20"/>
          <w:lang w:val="en-GB"/>
        </w:rPr>
        <w:t>evaluate and reflect regularly whether the process is still on course</w:t>
      </w:r>
    </w:p>
    <w:p w14:paraId="45E12209" w14:textId="1A8204CE" w:rsidR="002C1709" w:rsidRPr="002C1709" w:rsidRDefault="002C1709" w:rsidP="002C1709">
      <w:pPr>
        <w:pStyle w:val="Rubrik2"/>
        <w:numPr>
          <w:ilvl w:val="0"/>
          <w:numId w:val="2"/>
        </w:numPr>
        <w:spacing w:before="0"/>
        <w:ind w:left="714" w:hanging="357"/>
        <w:jc w:val="both"/>
        <w:rPr>
          <w:rFonts w:ascii="Arial Narrow" w:eastAsiaTheme="minorHAnsi" w:hAnsi="Arial Narrow" w:cs="Arial"/>
          <w:b w:val="0"/>
          <w:bCs w:val="0"/>
          <w:color w:val="auto"/>
          <w:sz w:val="20"/>
          <w:szCs w:val="20"/>
          <w:lang w:val="en-GB"/>
        </w:rPr>
      </w:pPr>
      <w:r w:rsidRPr="002C1709">
        <w:rPr>
          <w:rFonts w:ascii="Arial Narrow" w:eastAsiaTheme="minorHAnsi" w:hAnsi="Arial Narrow" w:cs="Arial"/>
          <w:b w:val="0"/>
          <w:bCs w:val="0"/>
          <w:color w:val="auto"/>
          <w:sz w:val="20"/>
          <w:szCs w:val="20"/>
          <w:lang w:val="en-GB"/>
        </w:rPr>
        <w:t xml:space="preserve">take responsibility    </w:t>
      </w:r>
    </w:p>
    <w:p w14:paraId="0383FD91" w14:textId="7B644798" w:rsidR="002C1709" w:rsidRDefault="002C1709" w:rsidP="002C1709">
      <w:pPr>
        <w:pStyle w:val="Rubrik2"/>
        <w:jc w:val="both"/>
        <w:rPr>
          <w:rFonts w:ascii="Arial Narrow" w:eastAsiaTheme="minorHAnsi" w:hAnsi="Arial Narrow" w:cs="Arial"/>
          <w:b w:val="0"/>
          <w:bCs w:val="0"/>
          <w:color w:val="auto"/>
          <w:sz w:val="20"/>
          <w:szCs w:val="20"/>
          <w:lang w:val="en-GB"/>
        </w:rPr>
      </w:pPr>
      <w:r w:rsidRPr="002C1709">
        <w:rPr>
          <w:rFonts w:ascii="Arial Narrow" w:eastAsiaTheme="minorHAnsi" w:hAnsi="Arial Narrow" w:cs="Arial"/>
          <w:b w:val="0"/>
          <w:bCs w:val="0"/>
          <w:color w:val="auto"/>
          <w:sz w:val="20"/>
          <w:szCs w:val="20"/>
          <w:lang w:val="en-GB"/>
        </w:rPr>
        <w:t xml:space="preserve">Then jointly implement projects </w:t>
      </w:r>
      <w:r>
        <w:rPr>
          <w:rFonts w:ascii="Arial Narrow" w:eastAsiaTheme="minorHAnsi" w:hAnsi="Arial Narrow" w:cs="Arial"/>
          <w:b w:val="0"/>
          <w:bCs w:val="0"/>
          <w:color w:val="auto"/>
          <w:sz w:val="20"/>
          <w:szCs w:val="20"/>
          <w:lang w:val="en-GB"/>
        </w:rPr>
        <w:t>can be carried out if those</w:t>
      </w:r>
      <w:r w:rsidRPr="002C1709">
        <w:rPr>
          <w:rFonts w:ascii="Arial Narrow" w:eastAsiaTheme="minorHAnsi" w:hAnsi="Arial Narrow" w:cs="Arial"/>
          <w:b w:val="0"/>
          <w:bCs w:val="0"/>
          <w:color w:val="auto"/>
          <w:sz w:val="20"/>
          <w:szCs w:val="20"/>
          <w:lang w:val="en-GB"/>
        </w:rPr>
        <w:t xml:space="preserve"> fit in the shared agenda. </w:t>
      </w:r>
      <w:r w:rsidR="00CF678F">
        <w:rPr>
          <w:rFonts w:ascii="Arial Narrow" w:eastAsiaTheme="minorHAnsi" w:hAnsi="Arial Narrow" w:cs="Arial"/>
          <w:b w:val="0"/>
          <w:bCs w:val="0"/>
          <w:color w:val="auto"/>
          <w:sz w:val="20"/>
          <w:szCs w:val="20"/>
          <w:lang w:val="en-GB"/>
        </w:rPr>
        <w:t>To assure that all partners have the resources that are needed a joint capacity building is desired. It aims to give information for the educational institutions on the k</w:t>
      </w:r>
      <w:r w:rsidRPr="002C1709">
        <w:rPr>
          <w:rFonts w:ascii="Arial Narrow" w:eastAsiaTheme="minorHAnsi" w:hAnsi="Arial Narrow" w:cs="Arial"/>
          <w:b w:val="0"/>
          <w:bCs w:val="0"/>
          <w:color w:val="auto"/>
          <w:sz w:val="20"/>
          <w:szCs w:val="20"/>
          <w:lang w:val="en-GB"/>
        </w:rPr>
        <w:t>nowledge and skills of teachers and students</w:t>
      </w:r>
      <w:r w:rsidR="00CF678F">
        <w:rPr>
          <w:rFonts w:ascii="Arial Narrow" w:eastAsiaTheme="minorHAnsi" w:hAnsi="Arial Narrow" w:cs="Arial"/>
          <w:b w:val="0"/>
          <w:bCs w:val="0"/>
          <w:color w:val="auto"/>
          <w:sz w:val="20"/>
          <w:szCs w:val="20"/>
          <w:lang w:val="en-GB"/>
        </w:rPr>
        <w:t>, t</w:t>
      </w:r>
      <w:r w:rsidRPr="002C1709">
        <w:rPr>
          <w:rFonts w:ascii="Arial Narrow" w:eastAsiaTheme="minorHAnsi" w:hAnsi="Arial Narrow" w:cs="Arial"/>
          <w:b w:val="0"/>
          <w:bCs w:val="0"/>
          <w:color w:val="auto"/>
          <w:sz w:val="20"/>
          <w:szCs w:val="20"/>
          <w:lang w:val="en-GB"/>
        </w:rPr>
        <w:t>ime investment</w:t>
      </w:r>
      <w:r w:rsidR="00CF678F">
        <w:rPr>
          <w:rFonts w:ascii="Arial Narrow" w:eastAsiaTheme="minorHAnsi" w:hAnsi="Arial Narrow" w:cs="Arial"/>
          <w:b w:val="0"/>
          <w:bCs w:val="0"/>
          <w:color w:val="auto"/>
          <w:sz w:val="20"/>
          <w:szCs w:val="20"/>
          <w:lang w:val="en-GB"/>
        </w:rPr>
        <w:t>, financials and f</w:t>
      </w:r>
      <w:r w:rsidRPr="002C1709">
        <w:rPr>
          <w:rFonts w:ascii="Arial Narrow" w:eastAsiaTheme="minorHAnsi" w:hAnsi="Arial Narrow" w:cs="Arial"/>
          <w:b w:val="0"/>
          <w:bCs w:val="0"/>
          <w:color w:val="auto"/>
          <w:sz w:val="20"/>
          <w:szCs w:val="20"/>
          <w:lang w:val="en-GB"/>
        </w:rPr>
        <w:t>acilities</w:t>
      </w:r>
      <w:r w:rsidR="00CF678F">
        <w:rPr>
          <w:rFonts w:ascii="Arial Narrow" w:eastAsiaTheme="minorHAnsi" w:hAnsi="Arial Narrow" w:cs="Arial"/>
          <w:b w:val="0"/>
          <w:bCs w:val="0"/>
          <w:color w:val="auto"/>
          <w:sz w:val="20"/>
          <w:szCs w:val="20"/>
          <w:lang w:val="en-GB"/>
        </w:rPr>
        <w:t>.</w:t>
      </w:r>
    </w:p>
    <w:p w14:paraId="663C4124" w14:textId="45CE4921" w:rsidR="008B1C06" w:rsidRPr="008B1C06" w:rsidRDefault="008B1C06" w:rsidP="008B1C06">
      <w:pPr>
        <w:spacing w:before="200"/>
        <w:jc w:val="both"/>
        <w:rPr>
          <w:rFonts w:ascii="Arial Narrow" w:hAnsi="Arial Narrow" w:cs="Arial"/>
          <w:szCs w:val="20"/>
          <w:lang w:val="en-GB"/>
        </w:rPr>
      </w:pPr>
      <w:r w:rsidRPr="008B1C06">
        <w:rPr>
          <w:rFonts w:ascii="Arial Narrow" w:hAnsi="Arial Narrow" w:cs="Arial"/>
          <w:szCs w:val="20"/>
          <w:lang w:val="en-GB"/>
        </w:rPr>
        <w:t xml:space="preserve">The </w:t>
      </w:r>
      <w:r>
        <w:rPr>
          <w:rFonts w:ascii="Arial Narrow" w:hAnsi="Arial Narrow" w:cs="Arial"/>
          <w:szCs w:val="20"/>
          <w:lang w:val="en-GB"/>
        </w:rPr>
        <w:t xml:space="preserve">below steps shall be followed to </w:t>
      </w:r>
      <w:r w:rsidR="0087459C">
        <w:rPr>
          <w:rFonts w:ascii="Arial Narrow" w:hAnsi="Arial Narrow" w:cs="Arial"/>
          <w:szCs w:val="20"/>
          <w:lang w:val="en-GB"/>
        </w:rPr>
        <w:t xml:space="preserve">build up capacity for educational institutions for being able to cooperate as main partners in </w:t>
      </w:r>
      <w:r>
        <w:rPr>
          <w:rFonts w:ascii="Arial Narrow" w:hAnsi="Arial Narrow" w:cs="Arial"/>
          <w:szCs w:val="20"/>
          <w:lang w:val="en-GB"/>
        </w:rPr>
        <w:t>regional learning networks.</w:t>
      </w:r>
    </w:p>
    <w:p w14:paraId="30A0BD1F" w14:textId="77777777" w:rsidR="00A61273" w:rsidRDefault="00490649" w:rsidP="00A61273">
      <w:pPr>
        <w:spacing w:after="0"/>
        <w:rPr>
          <w:rFonts w:ascii="Arial Narrow" w:hAnsi="Arial Narrow" w:cs="Arial"/>
          <w:sz w:val="22"/>
          <w:szCs w:val="20"/>
          <w:lang w:val="en-GB"/>
        </w:rPr>
      </w:pPr>
      <w:r w:rsidRPr="00490649">
        <w:rPr>
          <w:rFonts w:ascii="Arial Narrow" w:hAnsi="Arial Narrow" w:cs="Arial"/>
          <w:b/>
          <w:sz w:val="22"/>
          <w:szCs w:val="20"/>
          <w:lang w:val="en-GB"/>
        </w:rPr>
        <w:t>STEP 1</w:t>
      </w:r>
      <w:r>
        <w:rPr>
          <w:rFonts w:ascii="Arial Narrow" w:hAnsi="Arial Narrow" w:cs="Arial"/>
          <w:sz w:val="22"/>
          <w:szCs w:val="20"/>
          <w:lang w:val="en-GB"/>
        </w:rPr>
        <w:tab/>
      </w:r>
      <w:r w:rsidR="00A61273" w:rsidRPr="00A61273">
        <w:rPr>
          <w:rFonts w:ascii="Arial Narrow" w:hAnsi="Arial Narrow" w:cs="Arial"/>
          <w:sz w:val="22"/>
          <w:szCs w:val="20"/>
          <w:lang w:val="en-GB"/>
        </w:rPr>
        <w:t>Make an inv</w:t>
      </w:r>
      <w:r w:rsidR="00A61273">
        <w:rPr>
          <w:rFonts w:ascii="Arial Narrow" w:hAnsi="Arial Narrow" w:cs="Arial"/>
          <w:sz w:val="22"/>
          <w:szCs w:val="20"/>
          <w:lang w:val="en-GB"/>
        </w:rPr>
        <w:t>entory of the service package</w:t>
      </w:r>
      <w:r>
        <w:rPr>
          <w:rFonts w:ascii="Arial Narrow" w:hAnsi="Arial Narrow" w:cs="Arial"/>
          <w:sz w:val="22"/>
          <w:szCs w:val="20"/>
          <w:lang w:val="en-GB"/>
        </w:rPr>
        <w:br/>
      </w:r>
      <w:r w:rsidRPr="00490649">
        <w:rPr>
          <w:rFonts w:ascii="Arial Narrow" w:hAnsi="Arial Narrow" w:cs="Arial"/>
          <w:b/>
          <w:sz w:val="22"/>
          <w:szCs w:val="20"/>
          <w:lang w:val="en-GB"/>
        </w:rPr>
        <w:t>STEP 2</w:t>
      </w:r>
      <w:r>
        <w:rPr>
          <w:rFonts w:ascii="Arial Narrow" w:hAnsi="Arial Narrow" w:cs="Arial"/>
          <w:sz w:val="22"/>
          <w:szCs w:val="20"/>
          <w:lang w:val="en-GB"/>
        </w:rPr>
        <w:tab/>
      </w:r>
      <w:r w:rsidR="00A61273" w:rsidRPr="00A61273">
        <w:rPr>
          <w:rFonts w:ascii="Arial Narrow" w:hAnsi="Arial Narrow" w:cs="Arial"/>
          <w:sz w:val="22"/>
          <w:szCs w:val="20"/>
          <w:lang w:val="en-GB"/>
        </w:rPr>
        <w:t>Determine the initial situation for the entire process</w:t>
      </w:r>
      <w:r>
        <w:rPr>
          <w:rFonts w:ascii="Arial Narrow" w:hAnsi="Arial Narrow" w:cs="Arial"/>
          <w:sz w:val="22"/>
          <w:szCs w:val="20"/>
          <w:lang w:val="en-GB"/>
        </w:rPr>
        <w:br/>
      </w:r>
      <w:r w:rsidRPr="00490649">
        <w:rPr>
          <w:rFonts w:ascii="Arial Narrow" w:hAnsi="Arial Narrow" w:cs="Arial"/>
          <w:b/>
          <w:sz w:val="22"/>
          <w:szCs w:val="20"/>
          <w:lang w:val="en-GB"/>
        </w:rPr>
        <w:t>STEP 3</w:t>
      </w:r>
      <w:r>
        <w:rPr>
          <w:rFonts w:ascii="Arial Narrow" w:hAnsi="Arial Narrow" w:cs="Arial"/>
          <w:sz w:val="22"/>
          <w:szCs w:val="20"/>
          <w:lang w:val="en-GB"/>
        </w:rPr>
        <w:tab/>
      </w:r>
      <w:r w:rsidR="00A61273" w:rsidRPr="00A61273">
        <w:rPr>
          <w:rFonts w:ascii="Arial Narrow" w:hAnsi="Arial Narrow" w:cs="Arial"/>
          <w:sz w:val="22"/>
          <w:szCs w:val="20"/>
          <w:lang w:val="en-GB"/>
        </w:rPr>
        <w:t>Establish the long-term goal</w:t>
      </w:r>
      <w:r>
        <w:rPr>
          <w:rFonts w:ascii="Arial Narrow" w:hAnsi="Arial Narrow" w:cs="Arial"/>
          <w:sz w:val="22"/>
          <w:szCs w:val="20"/>
          <w:lang w:val="en-GB"/>
        </w:rPr>
        <w:br/>
      </w:r>
      <w:r w:rsidRPr="00490649">
        <w:rPr>
          <w:rFonts w:ascii="Arial Narrow" w:hAnsi="Arial Narrow" w:cs="Arial"/>
          <w:b/>
          <w:sz w:val="22"/>
          <w:szCs w:val="20"/>
          <w:lang w:val="en-GB"/>
        </w:rPr>
        <w:t>STEP 4</w:t>
      </w:r>
      <w:r>
        <w:rPr>
          <w:rFonts w:ascii="Arial Narrow" w:hAnsi="Arial Narrow" w:cs="Arial"/>
          <w:sz w:val="22"/>
          <w:szCs w:val="20"/>
          <w:lang w:val="en-GB"/>
        </w:rPr>
        <w:tab/>
      </w:r>
      <w:r w:rsidR="00A61273" w:rsidRPr="00A61273">
        <w:rPr>
          <w:rFonts w:ascii="Arial Narrow" w:hAnsi="Arial Narrow" w:cs="Arial"/>
          <w:sz w:val="22"/>
          <w:szCs w:val="20"/>
          <w:lang w:val="en-GB"/>
        </w:rPr>
        <w:t>Make a deal with your partners</w:t>
      </w:r>
      <w:r>
        <w:rPr>
          <w:rFonts w:ascii="Arial Narrow" w:hAnsi="Arial Narrow" w:cs="Arial"/>
          <w:sz w:val="22"/>
          <w:szCs w:val="20"/>
          <w:lang w:val="en-GB"/>
        </w:rPr>
        <w:br/>
      </w:r>
      <w:r w:rsidRPr="00490649">
        <w:rPr>
          <w:rFonts w:ascii="Arial Narrow" w:hAnsi="Arial Narrow" w:cs="Arial"/>
          <w:b/>
          <w:sz w:val="22"/>
          <w:szCs w:val="20"/>
          <w:lang w:val="en-GB"/>
        </w:rPr>
        <w:t>STEP 5</w:t>
      </w:r>
      <w:r>
        <w:rPr>
          <w:rFonts w:ascii="Arial Narrow" w:hAnsi="Arial Narrow" w:cs="Arial"/>
          <w:sz w:val="22"/>
          <w:szCs w:val="20"/>
          <w:lang w:val="en-GB"/>
        </w:rPr>
        <w:tab/>
      </w:r>
      <w:r w:rsidR="00A61273" w:rsidRPr="00A61273">
        <w:rPr>
          <w:rFonts w:ascii="Arial Narrow" w:hAnsi="Arial Narrow" w:cs="Arial"/>
          <w:sz w:val="22"/>
          <w:szCs w:val="20"/>
          <w:lang w:val="en-GB"/>
        </w:rPr>
        <w:t>Plan the transition of the school to get step by step to the final goal</w:t>
      </w:r>
    </w:p>
    <w:p w14:paraId="140CF5A2" w14:textId="40EF7126" w:rsidR="00A61273" w:rsidRDefault="00A61273" w:rsidP="00A61273">
      <w:pPr>
        <w:rPr>
          <w:rFonts w:ascii="Arial Narrow" w:hAnsi="Arial Narrow" w:cs="Arial"/>
          <w:sz w:val="22"/>
          <w:szCs w:val="20"/>
          <w:lang w:val="en-GB"/>
        </w:rPr>
      </w:pPr>
      <w:r w:rsidRPr="00490649">
        <w:rPr>
          <w:rFonts w:ascii="Arial Narrow" w:hAnsi="Arial Narrow" w:cs="Arial"/>
          <w:b/>
          <w:sz w:val="22"/>
          <w:szCs w:val="20"/>
          <w:lang w:val="en-GB"/>
        </w:rPr>
        <w:t xml:space="preserve">STEP </w:t>
      </w:r>
      <w:r>
        <w:rPr>
          <w:rFonts w:ascii="Arial Narrow" w:hAnsi="Arial Narrow" w:cs="Arial"/>
          <w:b/>
          <w:sz w:val="22"/>
          <w:szCs w:val="20"/>
          <w:lang w:val="en-GB"/>
        </w:rPr>
        <w:t>6</w:t>
      </w:r>
      <w:r>
        <w:rPr>
          <w:rFonts w:ascii="Arial Narrow" w:hAnsi="Arial Narrow" w:cs="Arial"/>
          <w:sz w:val="22"/>
          <w:szCs w:val="20"/>
          <w:lang w:val="en-GB"/>
        </w:rPr>
        <w:tab/>
      </w:r>
      <w:r w:rsidRPr="00A61273">
        <w:rPr>
          <w:rFonts w:ascii="Arial Narrow" w:hAnsi="Arial Narrow" w:cs="Arial"/>
          <w:sz w:val="22"/>
          <w:szCs w:val="20"/>
          <w:lang w:val="en-GB"/>
        </w:rPr>
        <w:t xml:space="preserve">Make </w:t>
      </w:r>
      <w:r w:rsidR="000741A5" w:rsidRPr="00A61273">
        <w:rPr>
          <w:rFonts w:ascii="Arial Narrow" w:hAnsi="Arial Narrow" w:cs="Arial"/>
          <w:sz w:val="22"/>
          <w:szCs w:val="20"/>
          <w:lang w:val="en-GB"/>
        </w:rPr>
        <w:t>a</w:t>
      </w:r>
      <w:r w:rsidRPr="00A61273">
        <w:rPr>
          <w:rFonts w:ascii="Arial Narrow" w:hAnsi="Arial Narrow" w:cs="Arial"/>
          <w:sz w:val="22"/>
          <w:szCs w:val="20"/>
          <w:lang w:val="en-GB"/>
        </w:rPr>
        <w:t xml:space="preserve"> </w:t>
      </w:r>
      <w:r w:rsidR="000741A5">
        <w:rPr>
          <w:rFonts w:ascii="Arial Narrow" w:hAnsi="Arial Narrow" w:cs="Arial"/>
          <w:sz w:val="22"/>
          <w:szCs w:val="20"/>
          <w:lang w:val="en-GB"/>
        </w:rPr>
        <w:t>flow</w:t>
      </w:r>
      <w:r w:rsidRPr="00A61273">
        <w:rPr>
          <w:rFonts w:ascii="Arial Narrow" w:hAnsi="Arial Narrow" w:cs="Arial"/>
          <w:sz w:val="22"/>
          <w:szCs w:val="20"/>
          <w:lang w:val="en-GB"/>
        </w:rPr>
        <w:t xml:space="preserve"> chart for the partnership that you want to </w:t>
      </w:r>
      <w:r w:rsidR="00B47745" w:rsidRPr="00A61273">
        <w:rPr>
          <w:rFonts w:ascii="Arial Narrow" w:hAnsi="Arial Narrow" w:cs="Arial"/>
          <w:sz w:val="22"/>
          <w:szCs w:val="20"/>
          <w:lang w:val="en-GB"/>
        </w:rPr>
        <w:t>enter</w:t>
      </w:r>
      <w:r w:rsidRPr="00A61273">
        <w:rPr>
          <w:rFonts w:ascii="Arial Narrow" w:hAnsi="Arial Narrow" w:cs="Arial"/>
          <w:sz w:val="22"/>
          <w:szCs w:val="20"/>
          <w:lang w:val="en-GB"/>
        </w:rPr>
        <w:t xml:space="preserve"> </w:t>
      </w:r>
    </w:p>
    <w:p w14:paraId="6412E7A2" w14:textId="650DE0FF" w:rsidR="008B1C06" w:rsidRPr="008B1C06" w:rsidRDefault="008B1C06" w:rsidP="00A61273">
      <w:pPr>
        <w:rPr>
          <w:rFonts w:ascii="Arial Narrow" w:hAnsi="Arial Narrow" w:cs="Arial"/>
          <w:szCs w:val="20"/>
          <w:lang w:val="en-GB"/>
        </w:rPr>
      </w:pPr>
      <w:r w:rsidRPr="008B1C06">
        <w:rPr>
          <w:rFonts w:ascii="Arial Narrow" w:hAnsi="Arial Narrow" w:cs="Arial"/>
          <w:szCs w:val="20"/>
          <w:lang w:val="en-GB"/>
        </w:rPr>
        <w:t xml:space="preserve">The </w:t>
      </w:r>
      <w:r>
        <w:rPr>
          <w:rFonts w:ascii="Arial Narrow" w:hAnsi="Arial Narrow" w:cs="Arial"/>
          <w:szCs w:val="20"/>
          <w:lang w:val="en-GB"/>
        </w:rPr>
        <w:t xml:space="preserve">steps are supported </w:t>
      </w:r>
      <w:r w:rsidR="000741A5">
        <w:rPr>
          <w:rFonts w:ascii="Arial Narrow" w:hAnsi="Arial Narrow" w:cs="Arial"/>
          <w:szCs w:val="20"/>
          <w:lang w:val="en-GB"/>
        </w:rPr>
        <w:t>the sub action of</w:t>
      </w:r>
      <w:r>
        <w:rPr>
          <w:rFonts w:ascii="Arial Narrow" w:hAnsi="Arial Narrow" w:cs="Arial"/>
          <w:szCs w:val="20"/>
          <w:lang w:val="en-GB"/>
        </w:rPr>
        <w:t xml:space="preserve"> </w:t>
      </w:r>
      <w:r w:rsidR="00C72D69">
        <w:rPr>
          <w:rFonts w:ascii="Arial Narrow" w:hAnsi="Arial Narrow" w:cs="Arial"/>
          <w:szCs w:val="20"/>
          <w:lang w:val="en-GB"/>
        </w:rPr>
        <w:t xml:space="preserve">developing </w:t>
      </w:r>
      <w:r w:rsidR="000741A5">
        <w:rPr>
          <w:rFonts w:ascii="Arial Narrow" w:hAnsi="Arial Narrow" w:cs="Arial"/>
          <w:szCs w:val="20"/>
          <w:lang w:val="en-GB"/>
        </w:rPr>
        <w:t>the service portfolio. After analysing the current and desired service portfolios and having the results from the previous intellectual outputs, a flow chart shall be established explaining the work flow and the structure of your ne</w:t>
      </w:r>
      <w:r w:rsidRPr="008B1C06">
        <w:rPr>
          <w:rFonts w:ascii="Arial Narrow" w:hAnsi="Arial Narrow" w:cs="Arial"/>
          <w:szCs w:val="20"/>
          <w:lang w:val="en-GB"/>
        </w:rPr>
        <w:t>twork</w:t>
      </w:r>
      <w:r w:rsidR="000741A5">
        <w:rPr>
          <w:rFonts w:ascii="Arial Narrow" w:hAnsi="Arial Narrow" w:cs="Arial"/>
          <w:szCs w:val="20"/>
          <w:lang w:val="en-GB"/>
        </w:rPr>
        <w:t>.</w:t>
      </w:r>
    </w:p>
    <w:p w14:paraId="79DD636B" w14:textId="035584A7" w:rsidR="000741A5" w:rsidRDefault="000741A5" w:rsidP="008B1C06">
      <w:pPr>
        <w:jc w:val="both"/>
        <w:rPr>
          <w:rFonts w:ascii="Arial Narrow" w:hAnsi="Arial Narrow" w:cs="Arial"/>
          <w:b/>
          <w:sz w:val="22"/>
          <w:szCs w:val="20"/>
          <w:lang w:val="en-GB"/>
        </w:rPr>
      </w:pPr>
      <w:r>
        <w:rPr>
          <w:rFonts w:ascii="Arial Narrow" w:hAnsi="Arial Narrow" w:cs="Arial"/>
          <w:b/>
          <w:sz w:val="22"/>
          <w:szCs w:val="20"/>
          <w:lang w:val="en-GB"/>
        </w:rPr>
        <w:t>Developing the Service Portfolio</w:t>
      </w:r>
    </w:p>
    <w:p w14:paraId="3B16D480" w14:textId="046CB264" w:rsidR="00BB1530" w:rsidRDefault="00BB1530" w:rsidP="008B1C06">
      <w:pPr>
        <w:jc w:val="both"/>
        <w:rPr>
          <w:rFonts w:ascii="Arial Narrow" w:hAnsi="Arial Narrow" w:cs="Arial"/>
          <w:szCs w:val="20"/>
          <w:lang w:val="en-GB"/>
        </w:rPr>
      </w:pPr>
      <w:r w:rsidRPr="00BB1530">
        <w:rPr>
          <w:rFonts w:ascii="Arial Narrow" w:hAnsi="Arial Narrow" w:cs="Arial"/>
          <w:szCs w:val="20"/>
          <w:lang w:val="en-GB"/>
        </w:rPr>
        <w:t xml:space="preserve">In developing the service portfolio, it is important to think about the appropriate financing instruments. </w:t>
      </w:r>
      <w:r w:rsidR="002351A9">
        <w:rPr>
          <w:rFonts w:ascii="Arial Narrow" w:hAnsi="Arial Narrow" w:cs="Arial"/>
          <w:szCs w:val="20"/>
          <w:lang w:val="en-GB"/>
        </w:rPr>
        <w:t>Table1</w:t>
      </w:r>
      <w:r w:rsidR="002351A9" w:rsidRPr="002351A9">
        <w:rPr>
          <w:rFonts w:ascii="Arial Narrow" w:hAnsi="Arial Narrow" w:cs="Arial"/>
          <w:szCs w:val="20"/>
          <w:lang w:val="en-GB"/>
        </w:rPr>
        <w:t xml:space="preserve"> provides an overview of the possible services. If the service is available or desired, an assessment of the current and desired quality of the services is delivered on a 1-10 scale, where 1 represents the lowest and 10 the highest score.</w:t>
      </w:r>
      <w:r w:rsidR="002351A9">
        <w:rPr>
          <w:rFonts w:ascii="Arial Narrow" w:hAnsi="Arial Narrow" w:cs="Arial"/>
          <w:szCs w:val="20"/>
          <w:lang w:val="en-GB"/>
        </w:rPr>
        <w:t xml:space="preserve"> With the help of the table, the potential shortages can be established.</w:t>
      </w:r>
    </w:p>
    <w:p w14:paraId="59045FB9" w14:textId="17D91B4B" w:rsidR="002351A9" w:rsidRDefault="002351A9" w:rsidP="008B1C06">
      <w:pPr>
        <w:jc w:val="both"/>
        <w:rPr>
          <w:rFonts w:ascii="Arial Narrow" w:hAnsi="Arial Narrow" w:cs="Arial"/>
          <w:szCs w:val="20"/>
          <w:lang w:val="en-GB"/>
        </w:rPr>
      </w:pPr>
    </w:p>
    <w:p w14:paraId="7EF8D2FA" w14:textId="77777777" w:rsidR="002351A9" w:rsidRDefault="002351A9" w:rsidP="008B1C06">
      <w:pPr>
        <w:jc w:val="both"/>
        <w:rPr>
          <w:rFonts w:ascii="Arial Narrow" w:hAnsi="Arial Narrow" w:cs="Arial"/>
          <w:szCs w:val="20"/>
          <w:lang w:val="en-GB"/>
        </w:rPr>
      </w:pPr>
    </w:p>
    <w:p w14:paraId="3E9BBF21" w14:textId="776F9CB0" w:rsidR="002351A9" w:rsidRDefault="002351A9" w:rsidP="002351A9">
      <w:pPr>
        <w:pStyle w:val="Ingetavstnd"/>
        <w:jc w:val="center"/>
        <w:rPr>
          <w:rFonts w:ascii="Arial Narrow" w:hAnsi="Arial Narrow" w:cs="Arial"/>
          <w:sz w:val="20"/>
          <w:szCs w:val="20"/>
          <w:lang w:val="en-GB"/>
        </w:rPr>
      </w:pPr>
      <w:r w:rsidRPr="002351A9">
        <w:rPr>
          <w:rFonts w:ascii="Arial Narrow" w:hAnsi="Arial Narrow" w:cs="Arial"/>
          <w:sz w:val="20"/>
          <w:szCs w:val="20"/>
          <w:lang w:val="en-GB"/>
        </w:rPr>
        <w:lastRenderedPageBreak/>
        <w:t>Table1 Overview of Possible Services</w:t>
      </w:r>
      <w:bookmarkStart w:id="0" w:name="_GoBack"/>
      <w:bookmarkEnd w:id="0"/>
    </w:p>
    <w:p w14:paraId="0FDB0ED7" w14:textId="77777777" w:rsidR="002351A9" w:rsidRPr="002351A9" w:rsidRDefault="002351A9" w:rsidP="002351A9">
      <w:pPr>
        <w:pStyle w:val="Ingetavstnd"/>
        <w:jc w:val="center"/>
        <w:rPr>
          <w:rFonts w:ascii="Arial Narrow" w:hAnsi="Arial Narrow" w:cs="Arial"/>
          <w:sz w:val="20"/>
          <w:szCs w:val="20"/>
          <w:lang w:val="en-GB"/>
        </w:rPr>
      </w:pPr>
    </w:p>
    <w:tbl>
      <w:tblPr>
        <w:tblStyle w:val="Tabellrutnt"/>
        <w:tblW w:w="0" w:type="auto"/>
        <w:tblLook w:val="04A0" w:firstRow="1" w:lastRow="0" w:firstColumn="1" w:lastColumn="0" w:noHBand="0" w:noVBand="1"/>
      </w:tblPr>
      <w:tblGrid>
        <w:gridCol w:w="3681"/>
        <w:gridCol w:w="2551"/>
        <w:gridCol w:w="2552"/>
      </w:tblGrid>
      <w:tr w:rsidR="002351A9" w:rsidRPr="002305B3" w14:paraId="537B7CDB" w14:textId="77777777" w:rsidTr="00FF3F16">
        <w:tc>
          <w:tcPr>
            <w:tcW w:w="3681" w:type="dxa"/>
          </w:tcPr>
          <w:p w14:paraId="7800375E" w14:textId="77777777" w:rsidR="002351A9" w:rsidRPr="002351A9" w:rsidRDefault="002351A9" w:rsidP="00FF3F16">
            <w:pPr>
              <w:spacing w:after="160" w:line="259" w:lineRule="auto"/>
              <w:rPr>
                <w:rFonts w:ascii="Arial Narrow" w:hAnsi="Arial Narrow" w:cs="Arial"/>
                <w:szCs w:val="20"/>
                <w:lang w:val="en-GB"/>
              </w:rPr>
            </w:pPr>
          </w:p>
        </w:tc>
        <w:tc>
          <w:tcPr>
            <w:tcW w:w="2551" w:type="dxa"/>
          </w:tcPr>
          <w:p w14:paraId="3B58FDF2" w14:textId="639BC26A" w:rsidR="002351A9" w:rsidRPr="002351A9" w:rsidRDefault="002351A9" w:rsidP="00FF3F16">
            <w:pPr>
              <w:spacing w:after="160" w:line="259" w:lineRule="auto"/>
              <w:rPr>
                <w:rFonts w:ascii="Arial Narrow" w:hAnsi="Arial Narrow" w:cs="Arial"/>
                <w:b/>
                <w:szCs w:val="20"/>
                <w:lang w:val="en-GB"/>
              </w:rPr>
            </w:pPr>
            <w:r w:rsidRPr="002351A9">
              <w:rPr>
                <w:rFonts w:ascii="Arial Narrow" w:hAnsi="Arial Narrow" w:cs="Arial"/>
                <w:b/>
                <w:szCs w:val="20"/>
                <w:lang w:val="en-GB"/>
              </w:rPr>
              <w:t xml:space="preserve">Present </w:t>
            </w:r>
          </w:p>
        </w:tc>
        <w:tc>
          <w:tcPr>
            <w:tcW w:w="2552" w:type="dxa"/>
          </w:tcPr>
          <w:p w14:paraId="6012FCDC" w14:textId="2AA9DA84" w:rsidR="002351A9" w:rsidRPr="002351A9" w:rsidRDefault="002351A9" w:rsidP="00FF3F16">
            <w:pPr>
              <w:spacing w:after="160" w:line="259" w:lineRule="auto"/>
              <w:rPr>
                <w:rFonts w:ascii="Arial Narrow" w:hAnsi="Arial Narrow" w:cs="Arial"/>
                <w:b/>
                <w:szCs w:val="20"/>
                <w:lang w:val="en-GB"/>
              </w:rPr>
            </w:pPr>
            <w:r w:rsidRPr="002351A9">
              <w:rPr>
                <w:rFonts w:ascii="Arial Narrow" w:hAnsi="Arial Narrow" w:cs="Arial"/>
                <w:b/>
                <w:szCs w:val="20"/>
                <w:lang w:val="en-GB"/>
              </w:rPr>
              <w:t>Desired</w:t>
            </w:r>
          </w:p>
        </w:tc>
      </w:tr>
      <w:tr w:rsidR="002351A9" w:rsidRPr="00AD7F67" w14:paraId="1E468A48" w14:textId="77777777" w:rsidTr="00FF3F16">
        <w:tc>
          <w:tcPr>
            <w:tcW w:w="3681" w:type="dxa"/>
          </w:tcPr>
          <w:p w14:paraId="4371BDD7"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Labour Pool: enough qualified professionals / professionals</w:t>
            </w:r>
          </w:p>
        </w:tc>
        <w:tc>
          <w:tcPr>
            <w:tcW w:w="2551" w:type="dxa"/>
            <w:shd w:val="clear" w:color="auto" w:fill="auto"/>
          </w:tcPr>
          <w:p w14:paraId="7D8CCA9A"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1D456C8F" w14:textId="5AADF9CF"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0B62721C"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5AC04C93" w14:textId="15DD4A1A"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07C83E2E" w14:textId="77777777" w:rsidTr="00FF3F16">
        <w:tc>
          <w:tcPr>
            <w:tcW w:w="3681" w:type="dxa"/>
          </w:tcPr>
          <w:p w14:paraId="1333AEB2"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Temporary forces</w:t>
            </w:r>
          </w:p>
        </w:tc>
        <w:tc>
          <w:tcPr>
            <w:tcW w:w="2551" w:type="dxa"/>
            <w:shd w:val="clear" w:color="auto" w:fill="auto"/>
          </w:tcPr>
          <w:p w14:paraId="40C1A187"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5F5EA117" w14:textId="506ABD66"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4C56E285"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3C3CE920" w14:textId="1823F764"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556AE489" w14:textId="77777777" w:rsidTr="00FF3F16">
        <w:tc>
          <w:tcPr>
            <w:tcW w:w="3681" w:type="dxa"/>
          </w:tcPr>
          <w:p w14:paraId="28061E1D"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Problem solving ability</w:t>
            </w:r>
          </w:p>
        </w:tc>
        <w:tc>
          <w:tcPr>
            <w:tcW w:w="2551" w:type="dxa"/>
            <w:shd w:val="clear" w:color="auto" w:fill="auto"/>
          </w:tcPr>
          <w:p w14:paraId="0DBE093E"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4E7546AC" w14:textId="7F02052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04250257"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1AD76C85" w14:textId="745A979C"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3701A4D4" w14:textId="77777777" w:rsidTr="00FF3F16">
        <w:tc>
          <w:tcPr>
            <w:tcW w:w="3681" w:type="dxa"/>
          </w:tcPr>
          <w:p w14:paraId="00CE3AC8"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Bringing in new knowledge</w:t>
            </w:r>
          </w:p>
        </w:tc>
        <w:tc>
          <w:tcPr>
            <w:tcW w:w="2551" w:type="dxa"/>
            <w:shd w:val="clear" w:color="auto" w:fill="auto"/>
          </w:tcPr>
          <w:p w14:paraId="02B1CA6D"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79AF5AD0" w14:textId="371A2ECD"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573BD123"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2CD308B4" w14:textId="71FD92DB"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7B88D2D2" w14:textId="77777777" w:rsidTr="00FF3F16">
        <w:tc>
          <w:tcPr>
            <w:tcW w:w="3681" w:type="dxa"/>
          </w:tcPr>
          <w:p w14:paraId="551D1EC6"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Facilitating learning networks</w:t>
            </w:r>
          </w:p>
        </w:tc>
        <w:tc>
          <w:tcPr>
            <w:tcW w:w="2551" w:type="dxa"/>
            <w:shd w:val="clear" w:color="auto" w:fill="auto"/>
          </w:tcPr>
          <w:p w14:paraId="59326FE3"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7EFB4F1F" w14:textId="35D44679"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0A175B8A"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3D1F799A" w14:textId="491EC69A"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113E7459" w14:textId="77777777" w:rsidTr="00FF3F16">
        <w:tc>
          <w:tcPr>
            <w:tcW w:w="3681" w:type="dxa"/>
          </w:tcPr>
          <w:p w14:paraId="4B0CC63D"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Extra training</w:t>
            </w:r>
          </w:p>
        </w:tc>
        <w:tc>
          <w:tcPr>
            <w:tcW w:w="2551" w:type="dxa"/>
            <w:shd w:val="clear" w:color="auto" w:fill="auto"/>
          </w:tcPr>
          <w:p w14:paraId="441DE70E"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4A35D635" w14:textId="4C3E4DBF"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0E678C18"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35762A38" w14:textId="48E6162E"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3C229CBB" w14:textId="77777777" w:rsidTr="00FF3F16">
        <w:tc>
          <w:tcPr>
            <w:tcW w:w="3681" w:type="dxa"/>
          </w:tcPr>
          <w:p w14:paraId="2402312E"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Level up-training</w:t>
            </w:r>
          </w:p>
        </w:tc>
        <w:tc>
          <w:tcPr>
            <w:tcW w:w="2551" w:type="dxa"/>
            <w:shd w:val="clear" w:color="auto" w:fill="auto"/>
          </w:tcPr>
          <w:p w14:paraId="03258A0E"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522DF47B" w14:textId="76DA3D62"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4808F1C5"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1A2FF04E" w14:textId="0C81E5D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r w:rsidR="002351A9" w:rsidRPr="00AD7F67" w14:paraId="6501C9F0" w14:textId="77777777" w:rsidTr="00FF3F16">
        <w:tc>
          <w:tcPr>
            <w:tcW w:w="3681" w:type="dxa"/>
          </w:tcPr>
          <w:p w14:paraId="16E374D9"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Retraining</w:t>
            </w:r>
          </w:p>
        </w:tc>
        <w:tc>
          <w:tcPr>
            <w:tcW w:w="2551" w:type="dxa"/>
            <w:shd w:val="clear" w:color="auto" w:fill="auto"/>
          </w:tcPr>
          <w:p w14:paraId="2F06642D"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233DE6CB" w14:textId="3639BE0D"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Quality assessment</w:t>
            </w:r>
          </w:p>
        </w:tc>
        <w:tc>
          <w:tcPr>
            <w:tcW w:w="2552" w:type="dxa"/>
            <w:shd w:val="clear" w:color="auto" w:fill="auto"/>
          </w:tcPr>
          <w:p w14:paraId="18CBC86C" w14:textId="7777777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Yes / no offer</w:t>
            </w:r>
          </w:p>
          <w:p w14:paraId="5CD4A66F" w14:textId="64E69E17" w:rsidR="002351A9" w:rsidRPr="002351A9" w:rsidRDefault="002351A9" w:rsidP="00FF3F16">
            <w:pPr>
              <w:spacing w:after="160" w:line="259" w:lineRule="auto"/>
              <w:rPr>
                <w:rFonts w:ascii="Arial Narrow" w:hAnsi="Arial Narrow" w:cs="Arial"/>
                <w:szCs w:val="20"/>
                <w:lang w:val="en-GB"/>
              </w:rPr>
            </w:pPr>
            <w:r w:rsidRPr="002351A9">
              <w:rPr>
                <w:rFonts w:ascii="Arial Narrow" w:hAnsi="Arial Narrow" w:cs="Arial"/>
                <w:szCs w:val="20"/>
                <w:lang w:val="en-GB"/>
              </w:rPr>
              <w:t>Desired quality</w:t>
            </w:r>
          </w:p>
        </w:tc>
      </w:tr>
    </w:tbl>
    <w:p w14:paraId="218DB6A7" w14:textId="77777777" w:rsidR="00766A3B" w:rsidRPr="001B25A4" w:rsidRDefault="00766A3B" w:rsidP="002351A9">
      <w:pPr>
        <w:rPr>
          <w:lang w:val="en-GB"/>
        </w:rPr>
      </w:pPr>
    </w:p>
    <w:sectPr w:rsidR="00766A3B" w:rsidRPr="001B25A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F240C" w14:textId="77777777" w:rsidR="008827DE" w:rsidRDefault="008827DE" w:rsidP="008827DE">
      <w:pPr>
        <w:spacing w:after="0" w:line="240" w:lineRule="auto"/>
      </w:pPr>
      <w:r>
        <w:separator/>
      </w:r>
    </w:p>
  </w:endnote>
  <w:endnote w:type="continuationSeparator" w:id="0">
    <w:p w14:paraId="452AADF6" w14:textId="77777777" w:rsidR="008827DE" w:rsidRDefault="008827DE" w:rsidP="0088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F30B" w14:textId="77777777" w:rsidR="008827DE" w:rsidRPr="008827DE" w:rsidRDefault="008827DE" w:rsidP="008827DE">
    <w:pPr>
      <w:pStyle w:val="Sidfot"/>
      <w:tabs>
        <w:tab w:val="left" w:pos="6840"/>
      </w:tabs>
      <w:rPr>
        <w:rFonts w:cs="Arial"/>
        <w:sz w:val="16"/>
        <w:szCs w:val="16"/>
        <w:lang w:val="en-US"/>
      </w:rPr>
    </w:pPr>
    <w:r w:rsidRPr="008827DE">
      <w:rPr>
        <w:rFonts w:cs="Arial"/>
        <w:sz w:val="16"/>
        <w:szCs w:val="16"/>
        <w:lang w:val="en-US"/>
      </w:rPr>
      <w:t>‘Peat Valley: repositioning education in the region’</w:t>
    </w:r>
    <w:r w:rsidRPr="008827DE">
      <w:rPr>
        <w:rFonts w:cs="Arial"/>
        <w:sz w:val="16"/>
        <w:szCs w:val="16"/>
        <w:lang w:val="en-US"/>
      </w:rPr>
      <w:tab/>
    </w:r>
    <w:r w:rsidRPr="008827DE">
      <w:rPr>
        <w:rFonts w:cs="Arial"/>
        <w:sz w:val="16"/>
        <w:szCs w:val="16"/>
        <w:lang w:val="en-US"/>
      </w:rPr>
      <w:tab/>
    </w:r>
    <w:r w:rsidRPr="008827DE">
      <w:rPr>
        <w:rFonts w:cs="Arial"/>
        <w:sz w:val="16"/>
        <w:szCs w:val="16"/>
        <w:lang w:val="en-US"/>
      </w:rPr>
      <w:tab/>
      <w:t>2015-1-NL01-KA202-008979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CD91" w14:textId="77777777" w:rsidR="008827DE" w:rsidRDefault="008827DE" w:rsidP="008827DE">
      <w:pPr>
        <w:spacing w:after="0" w:line="240" w:lineRule="auto"/>
      </w:pPr>
      <w:r>
        <w:separator/>
      </w:r>
    </w:p>
  </w:footnote>
  <w:footnote w:type="continuationSeparator" w:id="0">
    <w:p w14:paraId="4E2F4F85" w14:textId="77777777" w:rsidR="008827DE" w:rsidRDefault="008827DE" w:rsidP="0088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3B63" w14:textId="77777777" w:rsidR="008827DE" w:rsidRDefault="008827DE" w:rsidP="008827DE">
    <w:pPr>
      <w:pStyle w:val="Sidhuvud"/>
    </w:pPr>
    <w:r>
      <w:rPr>
        <w:noProof/>
        <w:lang w:val="nl-NL" w:eastAsia="nl-NL"/>
      </w:rPr>
      <w:drawing>
        <wp:inline distT="0" distB="0" distL="0" distR="0" wp14:anchorId="34EA8D1D" wp14:editId="253454D3">
          <wp:extent cx="1766908" cy="1348740"/>
          <wp:effectExtent l="0" t="0" r="508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png"/>
                  <pic:cNvPicPr/>
                </pic:nvPicPr>
                <pic:blipFill>
                  <a:blip r:embed="rId1">
                    <a:extLst>
                      <a:ext uri="{28A0092B-C50C-407E-A947-70E740481C1C}">
                        <a14:useLocalDpi xmlns:a14="http://schemas.microsoft.com/office/drawing/2010/main" val="0"/>
                      </a:ext>
                    </a:extLst>
                  </a:blip>
                  <a:stretch>
                    <a:fillRect/>
                  </a:stretch>
                </pic:blipFill>
                <pic:spPr>
                  <a:xfrm>
                    <a:off x="0" y="0"/>
                    <a:ext cx="1767622" cy="1349285"/>
                  </a:xfrm>
                  <a:prstGeom prst="rect">
                    <a:avLst/>
                  </a:prstGeom>
                </pic:spPr>
              </pic:pic>
            </a:graphicData>
          </a:graphic>
        </wp:inline>
      </w:drawing>
    </w:r>
    <w:r>
      <w:rPr>
        <w:noProof/>
        <w:lang w:val="nl-NL" w:eastAsia="nl-NL"/>
      </w:rPr>
      <w:drawing>
        <wp:inline distT="0" distB="0" distL="0" distR="0" wp14:anchorId="63A6DA79" wp14:editId="13183A2A">
          <wp:extent cx="2324100" cy="663709"/>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extLst>
                      <a:ext uri="{28A0092B-C50C-407E-A947-70E740481C1C}">
                        <a14:useLocalDpi xmlns:a14="http://schemas.microsoft.com/office/drawing/2010/main" val="0"/>
                      </a:ext>
                    </a:extLst>
                  </a:blip>
                  <a:stretch>
                    <a:fillRect/>
                  </a:stretch>
                </pic:blipFill>
                <pic:spPr>
                  <a:xfrm>
                    <a:off x="0" y="0"/>
                    <a:ext cx="2324100" cy="663709"/>
                  </a:xfrm>
                  <a:prstGeom prst="rect">
                    <a:avLst/>
                  </a:prstGeom>
                </pic:spPr>
              </pic:pic>
            </a:graphicData>
          </a:graphic>
        </wp:inline>
      </w:drawing>
    </w:r>
    <w:r>
      <w:rPr>
        <w:noProof/>
        <w:lang w:val="nl-NL" w:eastAsia="nl-NL"/>
      </w:rPr>
      <w:drawing>
        <wp:inline distT="0" distB="0" distL="0" distR="0" wp14:anchorId="237C0772" wp14:editId="68365E01">
          <wp:extent cx="1405128" cy="1453896"/>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asmusplus-n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5128" cy="1453896"/>
                  </a:xfrm>
                  <a:prstGeom prst="rect">
                    <a:avLst/>
                  </a:prstGeom>
                </pic:spPr>
              </pic:pic>
            </a:graphicData>
          </a:graphic>
        </wp:inline>
      </w:drawing>
    </w:r>
  </w:p>
  <w:p w14:paraId="4BB72F96" w14:textId="77777777" w:rsidR="008827DE" w:rsidRDefault="008827DE" w:rsidP="008827DE">
    <w:pPr>
      <w:pStyle w:val="Sidhuvud"/>
    </w:pPr>
  </w:p>
  <w:p w14:paraId="4DA9798A" w14:textId="77777777" w:rsidR="008827DE" w:rsidRDefault="00882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53FFE"/>
    <w:multiLevelType w:val="hybridMultilevel"/>
    <w:tmpl w:val="506A82A2"/>
    <w:lvl w:ilvl="0" w:tplc="05C6E588">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986934"/>
    <w:multiLevelType w:val="hybridMultilevel"/>
    <w:tmpl w:val="8CA080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DE"/>
    <w:rsid w:val="000741A5"/>
    <w:rsid w:val="001B25A4"/>
    <w:rsid w:val="002351A9"/>
    <w:rsid w:val="002878D8"/>
    <w:rsid w:val="002C1709"/>
    <w:rsid w:val="003C038F"/>
    <w:rsid w:val="00490649"/>
    <w:rsid w:val="005071F8"/>
    <w:rsid w:val="00753DB3"/>
    <w:rsid w:val="00766A3B"/>
    <w:rsid w:val="007F394C"/>
    <w:rsid w:val="0087459C"/>
    <w:rsid w:val="008827DE"/>
    <w:rsid w:val="008B1C06"/>
    <w:rsid w:val="00A61273"/>
    <w:rsid w:val="00B47745"/>
    <w:rsid w:val="00BB1530"/>
    <w:rsid w:val="00C72D69"/>
    <w:rsid w:val="00C91A71"/>
    <w:rsid w:val="00CE48FE"/>
    <w:rsid w:val="00CF4621"/>
    <w:rsid w:val="00CF678F"/>
    <w:rsid w:val="00D06945"/>
    <w:rsid w:val="00EC3CAE"/>
    <w:rsid w:val="00F0410B"/>
    <w:rsid w:val="00FF0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037B"/>
  <w15:chartTrackingRefBased/>
  <w15:docId w15:val="{C27DBFDD-6330-4E3F-A5CB-212EEBEB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7DE"/>
    <w:pPr>
      <w:spacing w:after="200" w:line="276" w:lineRule="auto"/>
    </w:pPr>
    <w:rPr>
      <w:rFonts w:ascii="Arial" w:hAnsi="Arial"/>
      <w:sz w:val="20"/>
      <w:lang w:val="en-US"/>
    </w:rPr>
  </w:style>
  <w:style w:type="paragraph" w:styleId="Rubrik2">
    <w:name w:val="heading 2"/>
    <w:basedOn w:val="Normal"/>
    <w:next w:val="Normal"/>
    <w:link w:val="Rubrik2Char"/>
    <w:uiPriority w:val="9"/>
    <w:unhideWhenUsed/>
    <w:qFormat/>
    <w:rsid w:val="008827D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827DE"/>
    <w:pPr>
      <w:tabs>
        <w:tab w:val="center" w:pos="4536"/>
        <w:tab w:val="right" w:pos="9072"/>
      </w:tabs>
      <w:spacing w:after="0" w:line="240" w:lineRule="auto"/>
    </w:pPr>
    <w:rPr>
      <w:rFonts w:asciiTheme="minorHAnsi" w:hAnsiTheme="minorHAnsi"/>
      <w:sz w:val="22"/>
      <w:lang w:val="sv-SE"/>
    </w:rPr>
  </w:style>
  <w:style w:type="character" w:customStyle="1" w:styleId="SidhuvudChar">
    <w:name w:val="Sidhuvud Char"/>
    <w:basedOn w:val="Standardstycketeckensnitt"/>
    <w:link w:val="Sidhuvud"/>
    <w:uiPriority w:val="99"/>
    <w:rsid w:val="008827DE"/>
  </w:style>
  <w:style w:type="paragraph" w:styleId="Sidfot">
    <w:name w:val="footer"/>
    <w:basedOn w:val="Normal"/>
    <w:link w:val="SidfotChar"/>
    <w:uiPriority w:val="99"/>
    <w:unhideWhenUsed/>
    <w:rsid w:val="008827DE"/>
    <w:pPr>
      <w:tabs>
        <w:tab w:val="center" w:pos="4536"/>
        <w:tab w:val="right" w:pos="9072"/>
      </w:tabs>
      <w:spacing w:after="0" w:line="240" w:lineRule="auto"/>
    </w:pPr>
    <w:rPr>
      <w:rFonts w:asciiTheme="minorHAnsi" w:hAnsiTheme="minorHAnsi"/>
      <w:sz w:val="22"/>
      <w:lang w:val="sv-SE"/>
    </w:rPr>
  </w:style>
  <w:style w:type="character" w:customStyle="1" w:styleId="SidfotChar">
    <w:name w:val="Sidfot Char"/>
    <w:basedOn w:val="Standardstycketeckensnitt"/>
    <w:link w:val="Sidfot"/>
    <w:uiPriority w:val="99"/>
    <w:rsid w:val="008827DE"/>
  </w:style>
  <w:style w:type="character" w:customStyle="1" w:styleId="Rubrik2Char">
    <w:name w:val="Rubrik 2 Char"/>
    <w:basedOn w:val="Standardstycketeckensnitt"/>
    <w:link w:val="Rubrik2"/>
    <w:uiPriority w:val="9"/>
    <w:rsid w:val="008827DE"/>
    <w:rPr>
      <w:rFonts w:asciiTheme="majorHAnsi" w:eastAsiaTheme="majorEastAsia" w:hAnsiTheme="majorHAnsi" w:cstheme="majorBidi"/>
      <w:b/>
      <w:bCs/>
      <w:color w:val="4472C4" w:themeColor="accent1"/>
      <w:sz w:val="26"/>
      <w:szCs w:val="26"/>
      <w:lang w:val="en-US"/>
    </w:rPr>
  </w:style>
  <w:style w:type="character" w:customStyle="1" w:styleId="IngetavstndChar">
    <w:name w:val="Inget avstånd Char"/>
    <w:aliases w:val="Gonneke Char,No Spacing1 Char,Geen afstand1 Char,Calibri Char,Gemiddeld raster 21 Char,Ton Stok Char,Muis Char,No Spacing Char"/>
    <w:basedOn w:val="Standardstycketeckensnitt"/>
    <w:link w:val="Ingetavstnd"/>
    <w:uiPriority w:val="1"/>
    <w:locked/>
    <w:rsid w:val="008827DE"/>
    <w:rPr>
      <w:lang w:val="nl-NL"/>
    </w:rPr>
  </w:style>
  <w:style w:type="paragraph" w:styleId="Ingetavstnd">
    <w:name w:val="No Spacing"/>
    <w:aliases w:val="Gonneke,No Spacing1,Geen afstand1,Calibri,Gemiddeld raster 21,Ton Stok,Muis,No Spacing"/>
    <w:link w:val="IngetavstndChar"/>
    <w:uiPriority w:val="1"/>
    <w:qFormat/>
    <w:rsid w:val="008827DE"/>
    <w:pPr>
      <w:spacing w:after="0" w:line="240" w:lineRule="auto"/>
    </w:pPr>
    <w:rPr>
      <w:lang w:val="nl-NL"/>
    </w:rPr>
  </w:style>
  <w:style w:type="character" w:styleId="Kommentarsreferens">
    <w:name w:val="annotation reference"/>
    <w:basedOn w:val="Standardstycketeckensnitt"/>
    <w:uiPriority w:val="99"/>
    <w:semiHidden/>
    <w:unhideWhenUsed/>
    <w:rsid w:val="008827DE"/>
    <w:rPr>
      <w:sz w:val="16"/>
      <w:szCs w:val="16"/>
    </w:rPr>
  </w:style>
  <w:style w:type="paragraph" w:styleId="Kommentarer">
    <w:name w:val="annotation text"/>
    <w:basedOn w:val="Normal"/>
    <w:link w:val="KommentarerChar"/>
    <w:uiPriority w:val="99"/>
    <w:semiHidden/>
    <w:unhideWhenUsed/>
    <w:rsid w:val="008827DE"/>
    <w:pPr>
      <w:spacing w:line="240" w:lineRule="auto"/>
    </w:pPr>
    <w:rPr>
      <w:szCs w:val="20"/>
    </w:rPr>
  </w:style>
  <w:style w:type="character" w:customStyle="1" w:styleId="KommentarerChar">
    <w:name w:val="Kommentarer Char"/>
    <w:basedOn w:val="Standardstycketeckensnitt"/>
    <w:link w:val="Kommentarer"/>
    <w:uiPriority w:val="99"/>
    <w:semiHidden/>
    <w:rsid w:val="008827DE"/>
    <w:rPr>
      <w:rFonts w:ascii="Arial" w:hAnsi="Arial"/>
      <w:sz w:val="20"/>
      <w:szCs w:val="20"/>
      <w:lang w:val="en-US"/>
    </w:rPr>
  </w:style>
  <w:style w:type="paragraph" w:styleId="Kommentarsmne">
    <w:name w:val="annotation subject"/>
    <w:basedOn w:val="Kommentarer"/>
    <w:next w:val="Kommentarer"/>
    <w:link w:val="KommentarsmneChar"/>
    <w:uiPriority w:val="99"/>
    <w:semiHidden/>
    <w:unhideWhenUsed/>
    <w:rsid w:val="008827DE"/>
    <w:rPr>
      <w:b/>
      <w:bCs/>
    </w:rPr>
  </w:style>
  <w:style w:type="character" w:customStyle="1" w:styleId="KommentarsmneChar">
    <w:name w:val="Kommentarsämne Char"/>
    <w:basedOn w:val="KommentarerChar"/>
    <w:link w:val="Kommentarsmne"/>
    <w:uiPriority w:val="99"/>
    <w:semiHidden/>
    <w:rsid w:val="008827DE"/>
    <w:rPr>
      <w:rFonts w:ascii="Arial" w:hAnsi="Arial"/>
      <w:b/>
      <w:bCs/>
      <w:sz w:val="20"/>
      <w:szCs w:val="20"/>
      <w:lang w:val="en-US"/>
    </w:rPr>
  </w:style>
  <w:style w:type="paragraph" w:styleId="Ballongtext">
    <w:name w:val="Balloon Text"/>
    <w:basedOn w:val="Normal"/>
    <w:link w:val="BallongtextChar"/>
    <w:uiPriority w:val="99"/>
    <w:semiHidden/>
    <w:unhideWhenUsed/>
    <w:rsid w:val="008827D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27DE"/>
    <w:rPr>
      <w:rFonts w:ascii="Segoe UI" w:hAnsi="Segoe UI" w:cs="Segoe UI"/>
      <w:sz w:val="18"/>
      <w:szCs w:val="18"/>
      <w:lang w:val="en-US"/>
    </w:rPr>
  </w:style>
  <w:style w:type="paragraph" w:styleId="Liststycke">
    <w:name w:val="List Paragraph"/>
    <w:basedOn w:val="Normal"/>
    <w:uiPriority w:val="34"/>
    <w:qFormat/>
    <w:rsid w:val="008B1C06"/>
    <w:pPr>
      <w:spacing w:after="160" w:line="259" w:lineRule="auto"/>
      <w:ind w:left="720"/>
      <w:contextualSpacing/>
    </w:pPr>
    <w:rPr>
      <w:rFonts w:asciiTheme="minorHAnsi" w:hAnsiTheme="minorHAnsi"/>
      <w:sz w:val="22"/>
      <w:lang w:val="sv-SE"/>
    </w:rPr>
  </w:style>
  <w:style w:type="table" w:styleId="Tabellrutnt">
    <w:name w:val="Table Grid"/>
    <w:basedOn w:val="Normaltabell"/>
    <w:uiPriority w:val="59"/>
    <w:rsid w:val="002351A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8200">
      <w:bodyDiv w:val="1"/>
      <w:marLeft w:val="0"/>
      <w:marRight w:val="0"/>
      <w:marTop w:val="0"/>
      <w:marBottom w:val="0"/>
      <w:divBdr>
        <w:top w:val="none" w:sz="0" w:space="0" w:color="auto"/>
        <w:left w:val="none" w:sz="0" w:space="0" w:color="auto"/>
        <w:bottom w:val="none" w:sz="0" w:space="0" w:color="auto"/>
        <w:right w:val="none" w:sz="0" w:space="0" w:color="auto"/>
      </w:divBdr>
    </w:div>
    <w:div w:id="6203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27D02FA</Template>
  <TotalTime>77</TotalTime>
  <Pages>2</Pages>
  <Words>511</Words>
  <Characters>2713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Zoltán Dóczi</dc:creator>
  <cp:keywords/>
  <dc:description/>
  <cp:lastModifiedBy>Zoltán Dóczi</cp:lastModifiedBy>
  <cp:revision>18</cp:revision>
  <dcterms:created xsi:type="dcterms:W3CDTF">2018-04-14T09:04:00Z</dcterms:created>
  <dcterms:modified xsi:type="dcterms:W3CDTF">2018-04-25T11:21:00Z</dcterms:modified>
</cp:coreProperties>
</file>