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F141" w14:textId="683ACC28" w:rsidR="007758D7" w:rsidRDefault="005A6D1B" w:rsidP="00311B47">
      <w:pPr>
        <w:pStyle w:val="Ingetavstnd"/>
        <w:jc w:val="center"/>
        <w:rPr>
          <w:rFonts w:ascii="Arial Narrow" w:hAnsi="Arial Narrow"/>
          <w:b/>
          <w:sz w:val="24"/>
          <w:szCs w:val="20"/>
          <w:lang w:val="en-GB"/>
        </w:rPr>
      </w:pPr>
      <w:r w:rsidRPr="00311B47">
        <w:rPr>
          <w:rFonts w:ascii="Arial Narrow" w:hAnsi="Arial Narrow"/>
          <w:b/>
          <w:sz w:val="24"/>
          <w:szCs w:val="20"/>
          <w:lang w:val="en-GB"/>
        </w:rPr>
        <w:t xml:space="preserve">Annex to </w:t>
      </w:r>
      <w:r w:rsidR="00167E38">
        <w:rPr>
          <w:rFonts w:ascii="Arial Narrow" w:hAnsi="Arial Narrow"/>
          <w:b/>
          <w:sz w:val="24"/>
          <w:szCs w:val="20"/>
          <w:lang w:val="en-GB"/>
        </w:rPr>
        <w:t>IO3 Capacity B</w:t>
      </w:r>
      <w:r w:rsidR="00167E38" w:rsidRPr="00167E38">
        <w:rPr>
          <w:rFonts w:ascii="Arial Narrow" w:hAnsi="Arial Narrow"/>
          <w:b/>
          <w:sz w:val="24"/>
          <w:szCs w:val="20"/>
          <w:lang w:val="en-GB"/>
        </w:rPr>
        <w:t>uilding</w:t>
      </w:r>
    </w:p>
    <w:p w14:paraId="1C23AA8B" w14:textId="77777777" w:rsidR="00311B47" w:rsidRPr="00311B47" w:rsidRDefault="00311B47" w:rsidP="00311B47">
      <w:pPr>
        <w:pStyle w:val="Ingetavstnd"/>
        <w:jc w:val="center"/>
        <w:rPr>
          <w:rFonts w:ascii="Arial Narrow" w:hAnsi="Arial Narrow"/>
          <w:b/>
          <w:sz w:val="24"/>
          <w:szCs w:val="20"/>
          <w:lang w:val="en-GB"/>
        </w:rPr>
      </w:pPr>
    </w:p>
    <w:p w14:paraId="5F9BF034" w14:textId="350DA8FD" w:rsidR="007758D7" w:rsidRPr="00AE582B" w:rsidRDefault="00AE582B">
      <w:pPr>
        <w:rPr>
          <w:rFonts w:ascii="Arial Narrow" w:hAnsi="Arial Narrow" w:cs="Arial"/>
          <w:sz w:val="20"/>
          <w:szCs w:val="20"/>
          <w:lang w:val="en-US"/>
        </w:rPr>
      </w:pPr>
      <w:r>
        <w:rPr>
          <w:rFonts w:ascii="Arial Narrow" w:hAnsi="Arial Narrow" w:cs="Arial"/>
          <w:sz w:val="20"/>
          <w:szCs w:val="20"/>
          <w:lang w:val="en-US"/>
        </w:rPr>
        <w:t>In the current annex, the experiences of the Biological Post-Secondary VET School are summarized giving an example for the other educational intuitions how a grid for repositions can be developed based on the proposed methodology.</w:t>
      </w:r>
    </w:p>
    <w:tbl>
      <w:tblPr>
        <w:tblStyle w:val="Tabellrutnt"/>
        <w:tblW w:w="13745" w:type="dxa"/>
        <w:tblLook w:val="04A0" w:firstRow="1" w:lastRow="0" w:firstColumn="1" w:lastColumn="0" w:noHBand="0" w:noVBand="1"/>
      </w:tblPr>
      <w:tblGrid>
        <w:gridCol w:w="1418"/>
        <w:gridCol w:w="12327"/>
      </w:tblGrid>
      <w:tr w:rsidR="007758D7" w:rsidRPr="00C340EC" w14:paraId="471FD9C2" w14:textId="77777777" w:rsidTr="009B3035">
        <w:tc>
          <w:tcPr>
            <w:tcW w:w="13745" w:type="dxa"/>
            <w:gridSpan w:val="2"/>
          </w:tcPr>
          <w:p w14:paraId="74038C07" w14:textId="4CF2DE78" w:rsidR="007758D7" w:rsidRPr="007758D7" w:rsidRDefault="007758D7" w:rsidP="009B3035">
            <w:pPr>
              <w:rPr>
                <w:rFonts w:ascii="Arial" w:hAnsi="Arial" w:cs="Arial"/>
                <w:caps/>
                <w:sz w:val="20"/>
                <w:szCs w:val="20"/>
                <w:lang w:val="en-US"/>
              </w:rPr>
            </w:pPr>
            <w:r w:rsidRPr="00C340EC">
              <w:rPr>
                <w:rFonts w:ascii="Arial" w:hAnsi="Arial" w:cs="Arial"/>
                <w:b/>
                <w:sz w:val="20"/>
                <w:szCs w:val="20"/>
                <w:lang w:val="en-US"/>
              </w:rPr>
              <w:t>SWEDEN</w:t>
            </w:r>
          </w:p>
        </w:tc>
      </w:tr>
      <w:tr w:rsidR="007758D7" w:rsidRPr="00AE582B" w14:paraId="4BB6C0AB" w14:textId="77777777" w:rsidTr="009B3035">
        <w:tc>
          <w:tcPr>
            <w:tcW w:w="1418" w:type="dxa"/>
          </w:tcPr>
          <w:p w14:paraId="2BF1D300" w14:textId="77777777" w:rsidR="007758D7" w:rsidRPr="00C340EC" w:rsidRDefault="007758D7" w:rsidP="009B3035">
            <w:pPr>
              <w:rPr>
                <w:rFonts w:ascii="Arial" w:hAnsi="Arial" w:cs="Arial"/>
                <w:sz w:val="20"/>
                <w:szCs w:val="20"/>
                <w:lang w:val="en-US"/>
              </w:rPr>
            </w:pPr>
            <w:r w:rsidRPr="00C340EC">
              <w:rPr>
                <w:rFonts w:ascii="Arial" w:hAnsi="Arial" w:cs="Arial"/>
                <w:sz w:val="20"/>
                <w:szCs w:val="20"/>
                <w:lang w:val="en-US"/>
              </w:rPr>
              <w:t>Educational Ins</w:t>
            </w:r>
            <w:bookmarkStart w:id="0" w:name="_GoBack"/>
            <w:bookmarkEnd w:id="0"/>
            <w:r w:rsidRPr="00C340EC">
              <w:rPr>
                <w:rFonts w:ascii="Arial" w:hAnsi="Arial" w:cs="Arial"/>
                <w:sz w:val="20"/>
                <w:szCs w:val="20"/>
                <w:lang w:val="en-US"/>
              </w:rPr>
              <w:t>titution</w:t>
            </w:r>
          </w:p>
        </w:tc>
        <w:tc>
          <w:tcPr>
            <w:tcW w:w="12327" w:type="dxa"/>
          </w:tcPr>
          <w:p w14:paraId="77387393" w14:textId="28510E8B" w:rsidR="007758D7" w:rsidRPr="00C340EC" w:rsidRDefault="00B870EB" w:rsidP="009B3035">
            <w:pPr>
              <w:rPr>
                <w:rFonts w:ascii="Arial" w:hAnsi="Arial" w:cs="Arial"/>
                <w:sz w:val="20"/>
                <w:szCs w:val="20"/>
                <w:lang w:val="en-US"/>
              </w:rPr>
            </w:pPr>
            <w:r w:rsidRPr="00C340EC">
              <w:rPr>
                <w:rFonts w:ascii="Arial" w:hAnsi="Arial" w:cs="Arial"/>
                <w:sz w:val="20"/>
                <w:szCs w:val="20"/>
                <w:lang w:val="en-US"/>
              </w:rPr>
              <w:t>Biological Post-Secondary VET School, hereinafter: BYS</w:t>
            </w:r>
          </w:p>
        </w:tc>
      </w:tr>
      <w:tr w:rsidR="007758D7" w:rsidRPr="00AE582B" w14:paraId="38BD80CE" w14:textId="77777777" w:rsidTr="009B3035">
        <w:tc>
          <w:tcPr>
            <w:tcW w:w="1418" w:type="dxa"/>
          </w:tcPr>
          <w:p w14:paraId="3D0A3A1C" w14:textId="77777777" w:rsidR="007758D7" w:rsidRPr="00C340EC" w:rsidRDefault="007758D7" w:rsidP="009B3035">
            <w:pPr>
              <w:rPr>
                <w:rFonts w:ascii="Arial" w:hAnsi="Arial" w:cs="Arial"/>
                <w:sz w:val="20"/>
                <w:szCs w:val="20"/>
                <w:lang w:val="en-US"/>
              </w:rPr>
            </w:pPr>
            <w:r w:rsidRPr="007758D7">
              <w:rPr>
                <w:rFonts w:ascii="Arial" w:hAnsi="Arial" w:cs="Arial"/>
                <w:sz w:val="20"/>
                <w:szCs w:val="20"/>
                <w:lang w:val="en-US"/>
              </w:rPr>
              <w:t>Description of institution</w:t>
            </w:r>
          </w:p>
        </w:tc>
        <w:tc>
          <w:tcPr>
            <w:tcW w:w="12327" w:type="dxa"/>
          </w:tcPr>
          <w:p w14:paraId="4C6423C8" w14:textId="5A99302A" w:rsidR="007758D7" w:rsidRPr="00C340EC" w:rsidRDefault="00B870EB" w:rsidP="009B3035">
            <w:pPr>
              <w:rPr>
                <w:rFonts w:ascii="Arial" w:hAnsi="Arial" w:cs="Arial"/>
                <w:sz w:val="20"/>
                <w:szCs w:val="20"/>
                <w:highlight w:val="yellow"/>
                <w:lang w:val="en-US"/>
              </w:rPr>
            </w:pPr>
            <w:r w:rsidRPr="00C340EC">
              <w:rPr>
                <w:rFonts w:ascii="Arial" w:hAnsi="Arial" w:cs="Arial"/>
                <w:sz w:val="20"/>
                <w:szCs w:val="20"/>
                <w:lang w:val="en-US"/>
              </w:rPr>
              <w:t xml:space="preserve">The local project of PV+ within Region </w:t>
            </w:r>
            <w:proofErr w:type="spellStart"/>
            <w:r w:rsidRPr="00C340EC">
              <w:rPr>
                <w:rFonts w:ascii="Arial" w:hAnsi="Arial" w:cs="Arial"/>
                <w:sz w:val="20"/>
                <w:szCs w:val="20"/>
                <w:lang w:val="en-US"/>
              </w:rPr>
              <w:t>Västra</w:t>
            </w:r>
            <w:proofErr w:type="spellEnd"/>
            <w:r w:rsidRPr="00C340EC">
              <w:rPr>
                <w:rFonts w:ascii="Arial" w:hAnsi="Arial" w:cs="Arial"/>
                <w:sz w:val="20"/>
                <w:szCs w:val="20"/>
                <w:lang w:val="en-US"/>
              </w:rPr>
              <w:t xml:space="preserve"> </w:t>
            </w:r>
            <w:proofErr w:type="spellStart"/>
            <w:r w:rsidRPr="00C340EC">
              <w:rPr>
                <w:rFonts w:ascii="Arial" w:hAnsi="Arial" w:cs="Arial"/>
                <w:sz w:val="20"/>
                <w:szCs w:val="20"/>
                <w:lang w:val="en-US"/>
              </w:rPr>
              <w:t>Götaland</w:t>
            </w:r>
            <w:proofErr w:type="spellEnd"/>
            <w:r w:rsidRPr="00C340EC">
              <w:rPr>
                <w:rFonts w:ascii="Arial" w:hAnsi="Arial" w:cs="Arial"/>
                <w:sz w:val="20"/>
                <w:szCs w:val="20"/>
                <w:lang w:val="en-US"/>
              </w:rPr>
              <w:t xml:space="preserve"> (</w:t>
            </w:r>
            <w:proofErr w:type="spellStart"/>
            <w:r w:rsidRPr="00C340EC">
              <w:rPr>
                <w:rFonts w:ascii="Arial" w:hAnsi="Arial" w:cs="Arial"/>
                <w:sz w:val="20"/>
                <w:szCs w:val="20"/>
                <w:lang w:val="en-US"/>
              </w:rPr>
              <w:t>Västra</w:t>
            </w:r>
            <w:proofErr w:type="spellEnd"/>
            <w:r w:rsidRPr="00C340EC">
              <w:rPr>
                <w:rFonts w:ascii="Arial" w:hAnsi="Arial" w:cs="Arial"/>
                <w:sz w:val="20"/>
                <w:szCs w:val="20"/>
                <w:lang w:val="en-US"/>
              </w:rPr>
              <w:t xml:space="preserve"> </w:t>
            </w:r>
            <w:proofErr w:type="spellStart"/>
            <w:r w:rsidRPr="00C340EC">
              <w:rPr>
                <w:rFonts w:ascii="Arial" w:hAnsi="Arial" w:cs="Arial"/>
                <w:sz w:val="20"/>
                <w:szCs w:val="20"/>
                <w:lang w:val="en-US"/>
              </w:rPr>
              <w:t>Götalandsregionen</w:t>
            </w:r>
            <w:proofErr w:type="spellEnd"/>
            <w:r w:rsidRPr="00C340EC">
              <w:rPr>
                <w:rFonts w:ascii="Arial" w:hAnsi="Arial" w:cs="Arial"/>
                <w:sz w:val="20"/>
                <w:szCs w:val="20"/>
                <w:lang w:val="en-US"/>
              </w:rPr>
              <w:t xml:space="preserve">) </w:t>
            </w:r>
            <w:r>
              <w:rPr>
                <w:rFonts w:ascii="Arial" w:hAnsi="Arial" w:cs="Arial"/>
                <w:sz w:val="20"/>
                <w:szCs w:val="20"/>
                <w:lang w:val="en-US"/>
              </w:rPr>
              <w:t xml:space="preserve">is allocated at the Department of Natural Resources </w:t>
            </w:r>
            <w:r w:rsidRPr="00C340EC">
              <w:rPr>
                <w:rFonts w:ascii="Arial" w:hAnsi="Arial" w:cs="Arial"/>
                <w:sz w:val="20"/>
                <w:szCs w:val="20"/>
                <w:lang w:val="en-US"/>
              </w:rPr>
              <w:t>(Naturbruks</w:t>
            </w:r>
            <w:r>
              <w:rPr>
                <w:rFonts w:ascii="Arial" w:hAnsi="Arial" w:cs="Arial"/>
                <w:sz w:val="20"/>
                <w:szCs w:val="20"/>
                <w:lang w:val="en-US"/>
              </w:rPr>
              <w:t>förvaltningen</w:t>
            </w:r>
            <w:r w:rsidRPr="00C340EC">
              <w:rPr>
                <w:rFonts w:ascii="Arial" w:hAnsi="Arial" w:cs="Arial"/>
                <w:sz w:val="20"/>
                <w:szCs w:val="20"/>
                <w:lang w:val="en-US"/>
              </w:rPr>
              <w:t xml:space="preserve">) </w:t>
            </w:r>
            <w:r>
              <w:rPr>
                <w:rFonts w:ascii="Arial" w:hAnsi="Arial" w:cs="Arial"/>
                <w:sz w:val="20"/>
                <w:szCs w:val="20"/>
                <w:lang w:val="en-US"/>
              </w:rPr>
              <w:t>involving</w:t>
            </w:r>
            <w:r w:rsidRPr="00C340EC">
              <w:rPr>
                <w:rFonts w:ascii="Arial" w:hAnsi="Arial" w:cs="Arial"/>
                <w:sz w:val="20"/>
                <w:szCs w:val="20"/>
                <w:lang w:val="en-US"/>
              </w:rPr>
              <w:t xml:space="preserve"> the </w:t>
            </w:r>
            <w:proofErr w:type="spellStart"/>
            <w:r w:rsidRPr="00C340EC">
              <w:rPr>
                <w:rFonts w:ascii="Arial" w:hAnsi="Arial" w:cs="Arial"/>
                <w:sz w:val="20"/>
                <w:szCs w:val="20"/>
                <w:lang w:val="en-US"/>
              </w:rPr>
              <w:t>Biologiska</w:t>
            </w:r>
            <w:proofErr w:type="spellEnd"/>
            <w:r w:rsidRPr="00C340EC">
              <w:rPr>
                <w:rFonts w:ascii="Arial" w:hAnsi="Arial" w:cs="Arial"/>
                <w:sz w:val="20"/>
                <w:szCs w:val="20"/>
                <w:lang w:val="en-US"/>
              </w:rPr>
              <w:t xml:space="preserve"> </w:t>
            </w:r>
            <w:proofErr w:type="spellStart"/>
            <w:r w:rsidRPr="00C340EC">
              <w:rPr>
                <w:rFonts w:ascii="Arial" w:hAnsi="Arial" w:cs="Arial"/>
                <w:sz w:val="20"/>
                <w:szCs w:val="20"/>
                <w:lang w:val="en-US"/>
              </w:rPr>
              <w:t>Yrkeshögskolan</w:t>
            </w:r>
            <w:proofErr w:type="spellEnd"/>
            <w:r w:rsidRPr="00C340EC">
              <w:rPr>
                <w:rFonts w:ascii="Arial" w:hAnsi="Arial" w:cs="Arial"/>
                <w:sz w:val="20"/>
                <w:szCs w:val="20"/>
                <w:lang w:val="en-US"/>
              </w:rPr>
              <w:t xml:space="preserve"> (Biological Post-Secondary VET School, hereinafter: BYS). It is an agricultural education center at the higher vocational education and training level (EQF level 5-6). BYS is centrally located in </w:t>
            </w:r>
            <w:proofErr w:type="spellStart"/>
            <w:r w:rsidRPr="00C340EC">
              <w:rPr>
                <w:rFonts w:ascii="Arial" w:hAnsi="Arial" w:cs="Arial"/>
                <w:sz w:val="20"/>
                <w:szCs w:val="20"/>
                <w:lang w:val="en-US"/>
              </w:rPr>
              <w:t>Skaraborg</w:t>
            </w:r>
            <w:proofErr w:type="spellEnd"/>
            <w:r w:rsidRPr="00C340EC">
              <w:rPr>
                <w:rFonts w:ascii="Arial" w:hAnsi="Arial" w:cs="Arial"/>
                <w:sz w:val="20"/>
                <w:szCs w:val="20"/>
                <w:lang w:val="en-US"/>
              </w:rPr>
              <w:t>. The programs at Post-Secondary VET School are always designed on a skills-need basis and in collaboration with trade and industry. The students’ knowledge development during their studies can be integrated with the needs and demands of the field.</w:t>
            </w:r>
          </w:p>
        </w:tc>
      </w:tr>
      <w:tr w:rsidR="007758D7" w:rsidRPr="00AE582B" w14:paraId="4E64CB8F" w14:textId="77777777" w:rsidTr="009B3035">
        <w:tc>
          <w:tcPr>
            <w:tcW w:w="1418" w:type="dxa"/>
          </w:tcPr>
          <w:p w14:paraId="59032DCF" w14:textId="1386FB68" w:rsidR="00A07D12" w:rsidRPr="00C340EC" w:rsidRDefault="007758D7" w:rsidP="009B3035">
            <w:pPr>
              <w:rPr>
                <w:rFonts w:ascii="Arial" w:hAnsi="Arial" w:cs="Arial"/>
                <w:sz w:val="20"/>
                <w:szCs w:val="20"/>
                <w:lang w:val="en-US"/>
              </w:rPr>
            </w:pPr>
            <w:r w:rsidRPr="00C340EC">
              <w:rPr>
                <w:rFonts w:ascii="Arial" w:hAnsi="Arial" w:cs="Arial"/>
                <w:sz w:val="20"/>
                <w:szCs w:val="20"/>
                <w:lang w:val="en-US"/>
              </w:rPr>
              <w:t>Methodology</w:t>
            </w:r>
          </w:p>
        </w:tc>
        <w:tc>
          <w:tcPr>
            <w:tcW w:w="12327" w:type="dxa"/>
          </w:tcPr>
          <w:p w14:paraId="69520413" w14:textId="307A3A91" w:rsidR="00A07D12" w:rsidRDefault="00A07D12" w:rsidP="00A07D12">
            <w:pPr>
              <w:rPr>
                <w:rFonts w:ascii="Arial" w:hAnsi="Arial" w:cs="Arial"/>
                <w:sz w:val="20"/>
                <w:szCs w:val="20"/>
                <w:lang w:val="en-US"/>
              </w:rPr>
            </w:pPr>
            <w:r w:rsidRPr="00A07D12">
              <w:rPr>
                <w:rFonts w:ascii="Arial" w:hAnsi="Arial" w:cs="Arial"/>
                <w:sz w:val="20"/>
                <w:szCs w:val="20"/>
                <w:lang w:val="en-US"/>
              </w:rPr>
              <w:t>In Sweden both interviews and group exercises have been performed with the target group: teaching</w:t>
            </w:r>
            <w:r>
              <w:rPr>
                <w:rFonts w:ascii="Arial" w:hAnsi="Arial" w:cs="Arial"/>
                <w:sz w:val="20"/>
                <w:szCs w:val="20"/>
                <w:lang w:val="en-US"/>
              </w:rPr>
              <w:t xml:space="preserve"> personal and management of BYS.</w:t>
            </w:r>
          </w:p>
          <w:p w14:paraId="6A014945" w14:textId="4441FE5D" w:rsidR="007758D7" w:rsidRDefault="007758D7" w:rsidP="009B3035">
            <w:pPr>
              <w:rPr>
                <w:rFonts w:ascii="Arial" w:hAnsi="Arial" w:cs="Arial"/>
                <w:sz w:val="20"/>
                <w:szCs w:val="20"/>
                <w:lang w:val="en-US"/>
              </w:rPr>
            </w:pPr>
          </w:p>
        </w:tc>
      </w:tr>
      <w:tr w:rsidR="007758D7" w:rsidRPr="009874B8" w14:paraId="13A093BC" w14:textId="77777777" w:rsidTr="00A07D12">
        <w:tblPrEx>
          <w:tblCellMar>
            <w:left w:w="70" w:type="dxa"/>
            <w:right w:w="70" w:type="dxa"/>
          </w:tblCellMar>
        </w:tblPrEx>
        <w:tc>
          <w:tcPr>
            <w:tcW w:w="1418" w:type="dxa"/>
          </w:tcPr>
          <w:p w14:paraId="0BE21195" w14:textId="77777777" w:rsidR="007758D7" w:rsidRPr="00C340EC" w:rsidRDefault="007758D7" w:rsidP="009B3035">
            <w:pPr>
              <w:rPr>
                <w:rFonts w:ascii="Arial" w:hAnsi="Arial" w:cs="Arial"/>
                <w:sz w:val="20"/>
                <w:szCs w:val="20"/>
                <w:lang w:val="en-US"/>
              </w:rPr>
            </w:pPr>
            <w:r>
              <w:rPr>
                <w:rFonts w:ascii="Arial" w:hAnsi="Arial" w:cs="Arial"/>
                <w:sz w:val="20"/>
                <w:szCs w:val="20"/>
                <w:lang w:val="en-US"/>
              </w:rPr>
              <w:t>Results</w:t>
            </w:r>
          </w:p>
        </w:tc>
        <w:tc>
          <w:tcPr>
            <w:tcW w:w="12327" w:type="dxa"/>
          </w:tcPr>
          <w:p w14:paraId="0B09BD61" w14:textId="5091042D" w:rsidR="00A07D12" w:rsidRDefault="00A07D12" w:rsidP="00B870EB">
            <w:pPr>
              <w:rPr>
                <w:rFonts w:ascii="Arial" w:hAnsi="Arial" w:cs="Arial"/>
                <w:sz w:val="20"/>
                <w:szCs w:val="20"/>
                <w:lang w:val="en-US"/>
              </w:rPr>
            </w:pPr>
            <w:r w:rsidRPr="00A07D12">
              <w:rPr>
                <w:rFonts w:ascii="Arial" w:hAnsi="Arial" w:cs="Arial"/>
                <w:sz w:val="20"/>
                <w:szCs w:val="20"/>
                <w:lang w:val="en-US"/>
              </w:rPr>
              <w:t xml:space="preserve">The aim of the action </w:t>
            </w:r>
            <w:r>
              <w:rPr>
                <w:rFonts w:ascii="Arial" w:hAnsi="Arial" w:cs="Arial"/>
                <w:sz w:val="20"/>
                <w:szCs w:val="20"/>
                <w:lang w:val="en-US"/>
              </w:rPr>
              <w:t>is</w:t>
            </w:r>
            <w:r w:rsidRPr="00A07D12">
              <w:rPr>
                <w:rFonts w:ascii="Arial" w:hAnsi="Arial" w:cs="Arial"/>
                <w:sz w:val="20"/>
                <w:szCs w:val="20"/>
                <w:lang w:val="en-US"/>
              </w:rPr>
              <w:t xml:space="preserve"> to determine the available and desir</w:t>
            </w:r>
            <w:r>
              <w:rPr>
                <w:rFonts w:ascii="Arial" w:hAnsi="Arial" w:cs="Arial"/>
                <w:sz w:val="20"/>
                <w:szCs w:val="20"/>
                <w:lang w:val="en-US"/>
              </w:rPr>
              <w:t>ed services for the institution based on the developing the service p</w:t>
            </w:r>
            <w:r w:rsidRPr="00A07D12">
              <w:rPr>
                <w:rFonts w:ascii="Arial" w:hAnsi="Arial" w:cs="Arial"/>
                <w:sz w:val="20"/>
                <w:szCs w:val="20"/>
                <w:lang w:val="en-US"/>
              </w:rPr>
              <w:t>ortfolio</w:t>
            </w:r>
            <w:r>
              <w:rPr>
                <w:rFonts w:ascii="Arial" w:hAnsi="Arial" w:cs="Arial"/>
                <w:sz w:val="20"/>
                <w:szCs w:val="20"/>
                <w:lang w:val="en-US"/>
              </w:rPr>
              <w:t xml:space="preserve">. And </w:t>
            </w:r>
            <w:r w:rsidRPr="00A07D12">
              <w:rPr>
                <w:rFonts w:ascii="Arial" w:hAnsi="Arial" w:cs="Arial"/>
                <w:sz w:val="20"/>
                <w:szCs w:val="20"/>
                <w:lang w:val="en-US"/>
              </w:rPr>
              <w:t xml:space="preserve">a flow chart </w:t>
            </w:r>
            <w:r>
              <w:rPr>
                <w:rFonts w:ascii="Arial" w:hAnsi="Arial" w:cs="Arial"/>
                <w:sz w:val="20"/>
                <w:szCs w:val="20"/>
                <w:lang w:val="en-US"/>
              </w:rPr>
              <w:t xml:space="preserve">is </w:t>
            </w:r>
            <w:r w:rsidRPr="00A07D12">
              <w:rPr>
                <w:rFonts w:ascii="Arial" w:hAnsi="Arial" w:cs="Arial"/>
                <w:sz w:val="20"/>
                <w:szCs w:val="20"/>
                <w:lang w:val="en-US"/>
              </w:rPr>
              <w:t xml:space="preserve">established explaining the work flow and the structure of </w:t>
            </w:r>
            <w:r>
              <w:rPr>
                <w:rFonts w:ascii="Arial" w:hAnsi="Arial" w:cs="Arial"/>
                <w:sz w:val="20"/>
                <w:szCs w:val="20"/>
                <w:lang w:val="en-US"/>
              </w:rPr>
              <w:t>the</w:t>
            </w:r>
            <w:r w:rsidRPr="00A07D12">
              <w:rPr>
                <w:rFonts w:ascii="Arial" w:hAnsi="Arial" w:cs="Arial"/>
                <w:sz w:val="20"/>
                <w:szCs w:val="20"/>
                <w:lang w:val="en-US"/>
              </w:rPr>
              <w:t xml:space="preserve"> network.</w:t>
            </w:r>
          </w:p>
          <w:p w14:paraId="665A13C1" w14:textId="77777777" w:rsidR="00DA7F81" w:rsidRDefault="00DA7F81" w:rsidP="00B870EB">
            <w:pPr>
              <w:rPr>
                <w:rFonts w:ascii="Arial" w:hAnsi="Arial" w:cs="Arial"/>
                <w:sz w:val="20"/>
                <w:szCs w:val="20"/>
                <w:lang w:val="en-US"/>
              </w:rPr>
            </w:pPr>
          </w:p>
          <w:p w14:paraId="6EFE9346" w14:textId="28B4B20D" w:rsidR="00A07D12" w:rsidRDefault="00A07D12" w:rsidP="00DA7F81">
            <w:pPr>
              <w:pStyle w:val="Ingetavstnd"/>
              <w:jc w:val="center"/>
              <w:rPr>
                <w:rFonts w:asciiTheme="minorHAnsi" w:hAnsiTheme="minorHAnsi" w:cs="Arial"/>
                <w:sz w:val="22"/>
                <w:lang w:val="en-GB"/>
              </w:rPr>
            </w:pPr>
            <w:r>
              <w:rPr>
                <w:noProof/>
                <w:lang w:eastAsia="nl-NL"/>
              </w:rPr>
              <w:lastRenderedPageBreak/>
              <w:drawing>
                <wp:inline distT="0" distB="0" distL="0" distR="0" wp14:anchorId="12F6B816" wp14:editId="0612F2F6">
                  <wp:extent cx="5772150" cy="3609975"/>
                  <wp:effectExtent l="0" t="0" r="0"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1F5585" w14:textId="77777777" w:rsidR="00DA7F81" w:rsidRDefault="00DA7F81" w:rsidP="00DA7F81">
            <w:pPr>
              <w:pStyle w:val="Ingetavstnd"/>
              <w:jc w:val="center"/>
              <w:rPr>
                <w:rFonts w:asciiTheme="minorHAnsi" w:hAnsiTheme="minorHAnsi" w:cs="Arial"/>
                <w:sz w:val="22"/>
                <w:lang w:val="en-GB"/>
              </w:rPr>
            </w:pPr>
          </w:p>
          <w:p w14:paraId="514B38D2" w14:textId="77777777" w:rsidR="00A07D12" w:rsidRDefault="00A07D12" w:rsidP="00024AF3">
            <w:pPr>
              <w:jc w:val="both"/>
              <w:rPr>
                <w:rFonts w:ascii="Arial" w:hAnsi="Arial" w:cs="Arial"/>
                <w:sz w:val="20"/>
                <w:szCs w:val="20"/>
                <w:lang w:val="en-US"/>
              </w:rPr>
            </w:pPr>
            <w:r w:rsidRPr="00A07D12">
              <w:rPr>
                <w:rFonts w:ascii="Arial" w:hAnsi="Arial" w:cs="Arial"/>
                <w:sz w:val="20"/>
                <w:szCs w:val="20"/>
                <w:lang w:val="en-US"/>
              </w:rPr>
              <w:t>The</w:t>
            </w:r>
            <w:r>
              <w:rPr>
                <w:rFonts w:ascii="Arial" w:hAnsi="Arial" w:cs="Arial"/>
                <w:sz w:val="20"/>
                <w:szCs w:val="20"/>
                <w:lang w:val="en-US"/>
              </w:rPr>
              <w:t xml:space="preserve"> above</w:t>
            </w:r>
            <w:r w:rsidRPr="00A07D12">
              <w:rPr>
                <w:rFonts w:ascii="Arial" w:hAnsi="Arial" w:cs="Arial"/>
                <w:sz w:val="20"/>
                <w:szCs w:val="20"/>
                <w:lang w:val="en-US"/>
              </w:rPr>
              <w:t xml:space="preserve"> exercise together with the research of the Universit</w:t>
            </w:r>
            <w:r>
              <w:rPr>
                <w:rFonts w:ascii="Arial" w:hAnsi="Arial" w:cs="Arial"/>
                <w:sz w:val="20"/>
                <w:szCs w:val="20"/>
                <w:lang w:val="en-US"/>
              </w:rPr>
              <w:t>y of Skövde detailed under IO 2</w:t>
            </w:r>
            <w:r w:rsidRPr="00A07D12">
              <w:rPr>
                <w:rFonts w:ascii="Arial" w:hAnsi="Arial" w:cs="Arial"/>
                <w:sz w:val="20"/>
                <w:szCs w:val="20"/>
                <w:lang w:val="en-US"/>
              </w:rPr>
              <w:t xml:space="preserve"> made the following challenges visible.</w:t>
            </w:r>
          </w:p>
          <w:p w14:paraId="5F0EF909" w14:textId="48209D04" w:rsidR="00A07D12" w:rsidRDefault="00A07D12" w:rsidP="00024AF3">
            <w:pPr>
              <w:jc w:val="both"/>
              <w:rPr>
                <w:rFonts w:ascii="Arial" w:hAnsi="Arial" w:cs="Arial"/>
                <w:sz w:val="20"/>
                <w:szCs w:val="20"/>
                <w:lang w:val="en-US"/>
              </w:rPr>
            </w:pPr>
            <w:r w:rsidRPr="00A07D12">
              <w:rPr>
                <w:rFonts w:ascii="Arial" w:hAnsi="Arial" w:cs="Arial"/>
                <w:sz w:val="20"/>
                <w:szCs w:val="20"/>
                <w:lang w:val="en-US"/>
              </w:rPr>
              <w:t>A coordinator is needed to facilitate the students’ projects to make it possible to divide the projects among work placement periods and even among students. This coordinator shall be a part of the school, preferably work as program coordinator to match the wishes of the branch of trade, the interest of the students and “tailor-made” the course aims.</w:t>
            </w:r>
          </w:p>
          <w:p w14:paraId="26348A28" w14:textId="77777777" w:rsidR="00DA7F81" w:rsidRDefault="00DA7F81" w:rsidP="00A07D12">
            <w:pPr>
              <w:rPr>
                <w:rFonts w:ascii="Arial" w:hAnsi="Arial" w:cs="Arial"/>
                <w:sz w:val="20"/>
                <w:szCs w:val="20"/>
                <w:lang w:val="en-US"/>
              </w:rPr>
            </w:pPr>
          </w:p>
          <w:p w14:paraId="5A23E833" w14:textId="77777777" w:rsidR="00A07D12" w:rsidRPr="00A07D12" w:rsidRDefault="00A07D12" w:rsidP="00024AF3">
            <w:pPr>
              <w:jc w:val="both"/>
              <w:rPr>
                <w:rFonts w:ascii="Arial" w:hAnsi="Arial" w:cs="Arial"/>
                <w:i/>
                <w:sz w:val="20"/>
                <w:szCs w:val="20"/>
                <w:lang w:val="en-US"/>
              </w:rPr>
            </w:pPr>
            <w:r w:rsidRPr="00A07D12">
              <w:rPr>
                <w:rFonts w:ascii="Arial" w:hAnsi="Arial" w:cs="Arial"/>
                <w:i/>
                <w:sz w:val="20"/>
                <w:szCs w:val="20"/>
                <w:lang w:val="en-US"/>
              </w:rPr>
              <w:t>How to bridge the gap?</w:t>
            </w:r>
          </w:p>
          <w:p w14:paraId="3273C906" w14:textId="01DC99DC" w:rsidR="00A07D12" w:rsidRDefault="00A07D12" w:rsidP="00024AF3">
            <w:pPr>
              <w:jc w:val="both"/>
              <w:rPr>
                <w:rFonts w:ascii="Arial" w:hAnsi="Arial" w:cs="Arial"/>
                <w:sz w:val="20"/>
                <w:szCs w:val="20"/>
                <w:lang w:val="en-US"/>
              </w:rPr>
            </w:pPr>
            <w:r w:rsidRPr="00A07D12">
              <w:rPr>
                <w:rFonts w:ascii="Arial" w:hAnsi="Arial" w:cs="Arial"/>
                <w:sz w:val="20"/>
                <w:szCs w:val="20"/>
                <w:lang w:val="en-US"/>
              </w:rPr>
              <w:t xml:space="preserve">In June 2017, BYS recruited a program coordinator whom </w:t>
            </w:r>
            <w:r>
              <w:rPr>
                <w:rFonts w:ascii="Arial" w:hAnsi="Arial" w:cs="Arial"/>
                <w:sz w:val="20"/>
                <w:szCs w:val="20"/>
                <w:lang w:val="en-US"/>
              </w:rPr>
              <w:t>has</w:t>
            </w:r>
            <w:r w:rsidRPr="00A07D12">
              <w:rPr>
                <w:rFonts w:ascii="Arial" w:hAnsi="Arial" w:cs="Arial"/>
                <w:sz w:val="20"/>
                <w:szCs w:val="20"/>
                <w:lang w:val="en-US"/>
              </w:rPr>
              <w:t xml:space="preserve"> a special focus on the current project aims. The program coordinator gets help in case of organization matters (meetings with municipalities, companies, stakeholders) from the Competence Centre at the </w:t>
            </w:r>
            <w:r w:rsidRPr="00A07D12">
              <w:rPr>
                <w:rFonts w:ascii="Arial" w:hAnsi="Arial" w:cs="Arial"/>
                <w:sz w:val="20"/>
                <w:szCs w:val="20"/>
                <w:lang w:val="en-US"/>
              </w:rPr>
              <w:lastRenderedPageBreak/>
              <w:t>Department of Natural Resources where an additional staff was recruited in June 2017 working part-time (50%) with internationalization.</w:t>
            </w:r>
          </w:p>
          <w:p w14:paraId="5E46B182" w14:textId="5914A151" w:rsidR="00A07D12" w:rsidRDefault="00A07D12" w:rsidP="00024AF3">
            <w:pPr>
              <w:jc w:val="both"/>
              <w:rPr>
                <w:rFonts w:ascii="Arial" w:hAnsi="Arial" w:cs="Arial"/>
                <w:sz w:val="20"/>
                <w:szCs w:val="20"/>
                <w:lang w:val="en-US"/>
              </w:rPr>
            </w:pPr>
          </w:p>
          <w:p w14:paraId="077D7925" w14:textId="5D2EFECA" w:rsidR="00A07D12" w:rsidRDefault="00A07D12" w:rsidP="00024AF3">
            <w:pPr>
              <w:jc w:val="both"/>
              <w:rPr>
                <w:rFonts w:ascii="Arial" w:hAnsi="Arial" w:cs="Arial"/>
                <w:sz w:val="20"/>
                <w:szCs w:val="20"/>
                <w:lang w:val="en-US"/>
              </w:rPr>
            </w:pPr>
            <w:r>
              <w:rPr>
                <w:rFonts w:ascii="Arial" w:hAnsi="Arial" w:cs="Arial"/>
                <w:sz w:val="20"/>
                <w:szCs w:val="20"/>
                <w:lang w:val="en-US"/>
              </w:rPr>
              <w:t xml:space="preserve">As part of the capacity building, </w:t>
            </w:r>
            <w:r w:rsidR="00DA7F81">
              <w:rPr>
                <w:rFonts w:ascii="Arial" w:hAnsi="Arial" w:cs="Arial"/>
                <w:sz w:val="20"/>
                <w:szCs w:val="20"/>
                <w:lang w:val="en-US"/>
              </w:rPr>
              <w:t xml:space="preserve">University of Skövde interview the management of BYS based on the </w:t>
            </w:r>
            <w:r w:rsidR="00DA7F81" w:rsidRPr="00A07D12">
              <w:rPr>
                <w:rFonts w:ascii="Arial" w:hAnsi="Arial" w:cs="Arial"/>
                <w:sz w:val="20"/>
                <w:szCs w:val="20"/>
                <w:lang w:val="en-US"/>
              </w:rPr>
              <w:t>developed 7S model constru</w:t>
            </w:r>
            <w:r w:rsidR="00DA7F81">
              <w:rPr>
                <w:rFonts w:ascii="Arial" w:hAnsi="Arial" w:cs="Arial"/>
                <w:sz w:val="20"/>
                <w:szCs w:val="20"/>
                <w:lang w:val="en-US"/>
              </w:rPr>
              <w:t>cted by McKinsey</w:t>
            </w:r>
            <w:r w:rsidR="00A64234">
              <w:rPr>
                <w:rFonts w:ascii="Arial" w:hAnsi="Arial" w:cs="Arial"/>
                <w:sz w:val="20"/>
                <w:szCs w:val="20"/>
                <w:lang w:val="en-US"/>
              </w:rPr>
              <w:t>¹</w:t>
            </w:r>
            <w:r w:rsidR="00DA7F81">
              <w:rPr>
                <w:rFonts w:ascii="Arial" w:hAnsi="Arial" w:cs="Arial"/>
                <w:sz w:val="20"/>
                <w:szCs w:val="20"/>
                <w:lang w:val="en-US"/>
              </w:rPr>
              <w:t xml:space="preserve">. </w:t>
            </w:r>
            <w:r w:rsidRPr="00A07D12">
              <w:rPr>
                <w:rFonts w:ascii="Arial" w:hAnsi="Arial" w:cs="Arial"/>
                <w:sz w:val="20"/>
                <w:szCs w:val="20"/>
                <w:lang w:val="en-US"/>
              </w:rPr>
              <w:t xml:space="preserve">This instrument is to support boards of institutions in determining their own administrative agenda in view of the internal capacity needed to realize the current regional positioning. </w:t>
            </w:r>
            <w:r w:rsidR="00DA7F81">
              <w:rPr>
                <w:rFonts w:ascii="Arial" w:hAnsi="Arial" w:cs="Arial"/>
                <w:sz w:val="20"/>
                <w:szCs w:val="20"/>
                <w:lang w:val="en-US"/>
              </w:rPr>
              <w:t xml:space="preserve">However, the exercise with the 7S model does not show a useful patter, i.e. no priority areas are established. </w:t>
            </w:r>
          </w:p>
          <w:p w14:paraId="71398BE7" w14:textId="47B90C09" w:rsidR="00A07D12" w:rsidRDefault="00A07D12" w:rsidP="00A07D12">
            <w:pPr>
              <w:rPr>
                <w:rFonts w:ascii="Arial" w:hAnsi="Arial" w:cs="Arial"/>
                <w:sz w:val="20"/>
                <w:szCs w:val="20"/>
                <w:lang w:val="en-US"/>
              </w:rPr>
            </w:pPr>
          </w:p>
          <w:p w14:paraId="210F9D7F" w14:textId="16E2DA20" w:rsidR="00A07D12" w:rsidRDefault="00A07D12" w:rsidP="00DA7F81">
            <w:pPr>
              <w:jc w:val="center"/>
              <w:rPr>
                <w:rFonts w:ascii="Arial" w:hAnsi="Arial" w:cs="Arial"/>
                <w:sz w:val="20"/>
                <w:szCs w:val="20"/>
                <w:lang w:val="en-US"/>
              </w:rPr>
            </w:pPr>
            <w:r>
              <w:rPr>
                <w:noProof/>
                <w:lang w:val="nl-NL" w:eastAsia="nl-NL"/>
              </w:rPr>
              <w:drawing>
                <wp:inline distT="0" distB="0" distL="0" distR="0" wp14:anchorId="493A7197" wp14:editId="622476E9">
                  <wp:extent cx="4572000" cy="2743200"/>
                  <wp:effectExtent l="0" t="0" r="0" b="0"/>
                  <wp:docPr id="5" name="Diagram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6C4A9" w14:textId="5A17EE3B" w:rsidR="00A07D12" w:rsidRDefault="00A07D12" w:rsidP="00A07D12">
            <w:pPr>
              <w:rPr>
                <w:rFonts w:ascii="Arial" w:hAnsi="Arial" w:cs="Arial"/>
                <w:sz w:val="20"/>
                <w:szCs w:val="20"/>
                <w:lang w:val="en-US"/>
              </w:rPr>
            </w:pPr>
          </w:p>
          <w:p w14:paraId="49A96981" w14:textId="58B577CB" w:rsidR="00DA7F81" w:rsidRDefault="00DA7F81" w:rsidP="00024AF3">
            <w:pPr>
              <w:jc w:val="both"/>
              <w:rPr>
                <w:rFonts w:ascii="Arial" w:hAnsi="Arial" w:cs="Arial"/>
                <w:sz w:val="20"/>
                <w:szCs w:val="20"/>
                <w:lang w:val="en-US"/>
              </w:rPr>
            </w:pPr>
            <w:r>
              <w:rPr>
                <w:rFonts w:ascii="Arial" w:hAnsi="Arial" w:cs="Arial"/>
                <w:sz w:val="20"/>
                <w:szCs w:val="20"/>
                <w:lang w:val="en-US"/>
              </w:rPr>
              <w:t>Establishing the flow chart, q</w:t>
            </w:r>
            <w:r w:rsidRPr="00DA7F81">
              <w:rPr>
                <w:rFonts w:ascii="Arial" w:hAnsi="Arial" w:cs="Arial"/>
                <w:sz w:val="20"/>
                <w:szCs w:val="20"/>
                <w:lang w:val="en-US"/>
              </w:rPr>
              <w:t>uestions will be gathered from the steering and leading committees via the s</w:t>
            </w:r>
            <w:r>
              <w:rPr>
                <w:rFonts w:ascii="Arial" w:hAnsi="Arial" w:cs="Arial"/>
                <w:sz w:val="20"/>
                <w:szCs w:val="20"/>
                <w:lang w:val="en-US"/>
              </w:rPr>
              <w:t xml:space="preserve">teering and leading committees. </w:t>
            </w:r>
            <w:r w:rsidRPr="00DA7F81">
              <w:rPr>
                <w:rFonts w:ascii="Arial" w:hAnsi="Arial" w:cs="Arial"/>
                <w:sz w:val="20"/>
                <w:szCs w:val="20"/>
                <w:lang w:val="en-US"/>
              </w:rPr>
              <w:t>The questions will be checked. If the question fits, it will be broken down to student projects in the educational programmes as part of work place based learning. I</w:t>
            </w:r>
            <w:r>
              <w:rPr>
                <w:rFonts w:ascii="Arial" w:hAnsi="Arial" w:cs="Arial"/>
                <w:sz w:val="20"/>
                <w:szCs w:val="20"/>
                <w:lang w:val="en-US"/>
              </w:rPr>
              <w:t>t</w:t>
            </w:r>
            <w:r w:rsidRPr="00DA7F81">
              <w:rPr>
                <w:rFonts w:ascii="Arial" w:hAnsi="Arial" w:cs="Arial"/>
                <w:sz w:val="20"/>
                <w:szCs w:val="20"/>
                <w:lang w:val="en-US"/>
              </w:rPr>
              <w:t xml:space="preserve"> requires the application of the courses’ aims and the curricula to make the student projects able to deliver solutions for the questions posed by the business. The proposed solutions will be presented at the steering and leading committees catalyzing new questions.</w:t>
            </w:r>
            <w:r>
              <w:rPr>
                <w:rFonts w:ascii="Arial" w:hAnsi="Arial" w:cs="Arial"/>
                <w:sz w:val="20"/>
                <w:szCs w:val="20"/>
                <w:lang w:val="en-US"/>
              </w:rPr>
              <w:t xml:space="preserve"> </w:t>
            </w:r>
            <w:r w:rsidRPr="00DA7F81">
              <w:rPr>
                <w:rFonts w:ascii="Arial" w:hAnsi="Arial" w:cs="Arial"/>
                <w:sz w:val="20"/>
                <w:szCs w:val="20"/>
                <w:lang w:val="en-US"/>
              </w:rPr>
              <w:t>The questions will be shaped as part of multi-funding base projects delivered by BYS.</w:t>
            </w:r>
          </w:p>
          <w:p w14:paraId="44C18621" w14:textId="77777777" w:rsidR="00DA7F81" w:rsidRPr="00DA7F81" w:rsidRDefault="00DA7F81" w:rsidP="00DA7F81">
            <w:pPr>
              <w:rPr>
                <w:rFonts w:ascii="Arial" w:hAnsi="Arial" w:cs="Arial"/>
                <w:sz w:val="20"/>
                <w:szCs w:val="20"/>
                <w:lang w:val="en-US"/>
              </w:rPr>
            </w:pPr>
          </w:p>
          <w:p w14:paraId="7AC9326E" w14:textId="7F349FA7" w:rsidR="00DA7F81" w:rsidRPr="00DA7F81" w:rsidRDefault="00DA7F81" w:rsidP="00DA7F81">
            <w:pPr>
              <w:jc w:val="center"/>
              <w:rPr>
                <w:lang w:val="en-GB"/>
              </w:rPr>
            </w:pPr>
            <w:r w:rsidRPr="00DA7F81">
              <w:rPr>
                <w:noProof/>
                <w:lang w:val="nl-NL" w:eastAsia="nl-NL"/>
              </w:rPr>
              <w:lastRenderedPageBreak/>
              <w:drawing>
                <wp:inline distT="0" distB="0" distL="0" distR="0" wp14:anchorId="35216D45" wp14:editId="53C3DD3F">
                  <wp:extent cx="5114925" cy="1708760"/>
                  <wp:effectExtent l="0" t="0" r="0" b="6350"/>
                  <wp:docPr id="16"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5"/>
                          <pic:cNvPicPr>
                            <a:picLocks noChangeAspect="1"/>
                          </pic:cNvPicPr>
                        </pic:nvPicPr>
                        <pic:blipFill>
                          <a:blip r:embed="rId9"/>
                          <a:stretch>
                            <a:fillRect/>
                          </a:stretch>
                        </pic:blipFill>
                        <pic:spPr>
                          <a:xfrm>
                            <a:off x="0" y="0"/>
                            <a:ext cx="5138231" cy="1716546"/>
                          </a:xfrm>
                          <a:prstGeom prst="rect">
                            <a:avLst/>
                          </a:prstGeom>
                        </pic:spPr>
                      </pic:pic>
                    </a:graphicData>
                  </a:graphic>
                </wp:inline>
              </w:drawing>
            </w:r>
          </w:p>
        </w:tc>
      </w:tr>
      <w:tr w:rsidR="007758D7" w:rsidRPr="00AE582B" w14:paraId="69B0A26E" w14:textId="77777777" w:rsidTr="009B3035">
        <w:tc>
          <w:tcPr>
            <w:tcW w:w="1418" w:type="dxa"/>
          </w:tcPr>
          <w:p w14:paraId="12504AD2" w14:textId="77777777" w:rsidR="007758D7" w:rsidRPr="00C340EC" w:rsidRDefault="007758D7" w:rsidP="009B3035">
            <w:pPr>
              <w:rPr>
                <w:rFonts w:ascii="Arial" w:hAnsi="Arial" w:cs="Arial"/>
                <w:sz w:val="20"/>
                <w:szCs w:val="20"/>
                <w:lang w:val="en-US"/>
              </w:rPr>
            </w:pPr>
            <w:r w:rsidRPr="00C340EC">
              <w:rPr>
                <w:rFonts w:ascii="Arial" w:hAnsi="Arial" w:cs="Arial"/>
                <w:sz w:val="20"/>
                <w:szCs w:val="20"/>
                <w:lang w:val="en-US"/>
              </w:rPr>
              <w:lastRenderedPageBreak/>
              <w:t>Important conclusions</w:t>
            </w:r>
          </w:p>
        </w:tc>
        <w:tc>
          <w:tcPr>
            <w:tcW w:w="12327" w:type="dxa"/>
          </w:tcPr>
          <w:p w14:paraId="4DCAC7CD" w14:textId="0384B6D7" w:rsidR="00024AF3" w:rsidRDefault="00DA7F81" w:rsidP="00024AF3">
            <w:pPr>
              <w:jc w:val="both"/>
              <w:rPr>
                <w:rFonts w:ascii="Arial" w:hAnsi="Arial" w:cs="Arial"/>
                <w:sz w:val="20"/>
                <w:szCs w:val="20"/>
                <w:lang w:val="en-US"/>
              </w:rPr>
            </w:pPr>
            <w:r w:rsidRPr="00DA7F81">
              <w:rPr>
                <w:rFonts w:ascii="Arial" w:hAnsi="Arial" w:cs="Arial"/>
                <w:sz w:val="20"/>
                <w:szCs w:val="20"/>
                <w:lang w:val="en-US"/>
              </w:rPr>
              <w:t xml:space="preserve">The above model integrates the branches of trade with the education. Moreover, the competence and the contributions of the University of Skövde is also required to break down the questions of the branches of trade into student projects in the educational </w:t>
            </w:r>
            <w:proofErr w:type="spellStart"/>
            <w:r w:rsidRPr="00DA7F81">
              <w:rPr>
                <w:rFonts w:ascii="Arial" w:hAnsi="Arial" w:cs="Arial"/>
                <w:sz w:val="20"/>
                <w:szCs w:val="20"/>
                <w:lang w:val="en-US"/>
              </w:rPr>
              <w:t>programmes</w:t>
            </w:r>
            <w:proofErr w:type="spellEnd"/>
            <w:r w:rsidRPr="00DA7F81">
              <w:rPr>
                <w:rFonts w:ascii="Arial" w:hAnsi="Arial" w:cs="Arial"/>
                <w:sz w:val="20"/>
                <w:szCs w:val="20"/>
                <w:lang w:val="en-US"/>
              </w:rPr>
              <w:t>.</w:t>
            </w:r>
            <w:r w:rsidR="00024AF3">
              <w:rPr>
                <w:rFonts w:ascii="Arial" w:hAnsi="Arial" w:cs="Arial"/>
                <w:sz w:val="20"/>
                <w:szCs w:val="20"/>
                <w:lang w:val="en-US"/>
              </w:rPr>
              <w:t xml:space="preserve"> </w:t>
            </w:r>
            <w:r w:rsidRPr="00DA7F81">
              <w:rPr>
                <w:rFonts w:ascii="Arial" w:hAnsi="Arial" w:cs="Arial"/>
                <w:sz w:val="20"/>
                <w:szCs w:val="20"/>
                <w:lang w:val="en-US"/>
              </w:rPr>
              <w:t>Concerning multi-funding base projects, the Competence Centre at the Department of Natural Resource</w:t>
            </w:r>
            <w:r w:rsidR="00024AF3">
              <w:rPr>
                <w:rFonts w:ascii="Arial" w:hAnsi="Arial" w:cs="Arial"/>
                <w:sz w:val="20"/>
                <w:szCs w:val="20"/>
                <w:lang w:val="en-US"/>
              </w:rPr>
              <w:t>s is involved as a public body.</w:t>
            </w:r>
          </w:p>
          <w:p w14:paraId="2D53249F" w14:textId="19117539" w:rsidR="007758D7" w:rsidRPr="00DA7F81" w:rsidRDefault="00DA7F81" w:rsidP="00024AF3">
            <w:pPr>
              <w:jc w:val="both"/>
              <w:rPr>
                <w:rFonts w:ascii="Arial" w:hAnsi="Arial" w:cs="Arial"/>
                <w:sz w:val="20"/>
                <w:szCs w:val="20"/>
                <w:lang w:val="en-US"/>
              </w:rPr>
            </w:pPr>
            <w:r w:rsidRPr="00DA7F81">
              <w:rPr>
                <w:rFonts w:ascii="Arial" w:hAnsi="Arial" w:cs="Arial"/>
                <w:sz w:val="20"/>
                <w:szCs w:val="20"/>
                <w:lang w:val="en-US"/>
              </w:rPr>
              <w:t>As a result, a structured cooperation is supposed to be developed. Implementing the above model, a qualitative change is expected in the education. The branch of trade will follow the students inspiring them with their questions. If a student has a certain interest, there will be an opportunity to merge several work placement assignments that may eventually lead to a well-structured degree project. Public bodies are invited to cooperate via multi-funding base projects.</w:t>
            </w:r>
          </w:p>
        </w:tc>
      </w:tr>
      <w:tr w:rsidR="007758D7" w:rsidRPr="00AE582B" w14:paraId="66AFAFE6" w14:textId="77777777" w:rsidTr="009B3035">
        <w:tc>
          <w:tcPr>
            <w:tcW w:w="1418" w:type="dxa"/>
          </w:tcPr>
          <w:p w14:paraId="326959EC" w14:textId="77777777" w:rsidR="007758D7" w:rsidRPr="00C340EC" w:rsidRDefault="007758D7" w:rsidP="009B3035">
            <w:pPr>
              <w:rPr>
                <w:rFonts w:ascii="Arial" w:hAnsi="Arial" w:cs="Arial"/>
                <w:sz w:val="20"/>
                <w:szCs w:val="20"/>
                <w:lang w:val="en-US"/>
              </w:rPr>
            </w:pPr>
            <w:r w:rsidRPr="00C340EC">
              <w:rPr>
                <w:rFonts w:ascii="Arial" w:hAnsi="Arial" w:cs="Arial"/>
                <w:sz w:val="20"/>
                <w:szCs w:val="20"/>
                <w:lang w:val="en-US"/>
              </w:rPr>
              <w:t xml:space="preserve">Link with the </w:t>
            </w:r>
            <w:r>
              <w:rPr>
                <w:rFonts w:ascii="Arial" w:hAnsi="Arial" w:cs="Arial"/>
                <w:sz w:val="20"/>
                <w:szCs w:val="20"/>
                <w:lang w:val="en-US"/>
              </w:rPr>
              <w:t>pilot c</w:t>
            </w:r>
            <w:r w:rsidRPr="00C340EC">
              <w:rPr>
                <w:rFonts w:ascii="Arial" w:hAnsi="Arial" w:cs="Arial"/>
                <w:sz w:val="20"/>
                <w:szCs w:val="20"/>
                <w:lang w:val="en-US"/>
              </w:rPr>
              <w:t>ase</w:t>
            </w:r>
          </w:p>
        </w:tc>
        <w:tc>
          <w:tcPr>
            <w:tcW w:w="12327" w:type="dxa"/>
          </w:tcPr>
          <w:p w14:paraId="0EAB8F93" w14:textId="6D0C401C" w:rsidR="007758D7" w:rsidRPr="00C340EC" w:rsidRDefault="00024AF3" w:rsidP="009B3035">
            <w:pPr>
              <w:rPr>
                <w:rFonts w:ascii="Arial" w:hAnsi="Arial" w:cs="Arial"/>
                <w:sz w:val="20"/>
                <w:szCs w:val="20"/>
                <w:lang w:val="en-US"/>
              </w:rPr>
            </w:pPr>
            <w:r>
              <w:rPr>
                <w:rFonts w:ascii="Arial" w:hAnsi="Arial" w:cs="Arial"/>
                <w:sz w:val="20"/>
                <w:szCs w:val="20"/>
                <w:lang w:val="en-US"/>
              </w:rPr>
              <w:t>The pilot case is delivered inside the above suggested new mechanism for cooperation in the regional learning network.</w:t>
            </w:r>
          </w:p>
        </w:tc>
      </w:tr>
    </w:tbl>
    <w:p w14:paraId="24BA4708" w14:textId="65BEB5AC" w:rsidR="007758D7" w:rsidRDefault="007758D7">
      <w:pPr>
        <w:rPr>
          <w:lang w:val="en-US"/>
        </w:rPr>
      </w:pPr>
    </w:p>
    <w:p w14:paraId="1371A93C" w14:textId="77777777" w:rsidR="00A64234" w:rsidRPr="00805480" w:rsidRDefault="00A64234" w:rsidP="00A64234">
      <w:pPr>
        <w:pStyle w:val="Rubrik1"/>
        <w:shd w:val="clear" w:color="auto" w:fill="FFFFFF"/>
        <w:spacing w:before="0"/>
        <w:rPr>
          <w:rFonts w:ascii="Arial" w:hAnsi="Arial" w:cs="Arial"/>
          <w:b w:val="0"/>
          <w:bCs w:val="0"/>
          <w:color w:val="3F3F3F"/>
          <w:sz w:val="16"/>
          <w:szCs w:val="16"/>
          <w:lang w:val="nl-NL"/>
        </w:rPr>
      </w:pPr>
      <w:r w:rsidRPr="00805480">
        <w:rPr>
          <w:rFonts w:ascii="Arial Narrow" w:hAnsi="Arial Narrow" w:cs="Arial"/>
          <w:b w:val="0"/>
          <w:color w:val="auto"/>
          <w:sz w:val="16"/>
          <w:szCs w:val="16"/>
          <w:lang w:val="nl-NL"/>
        </w:rPr>
        <w:t>¹source</w:t>
      </w:r>
      <w:r>
        <w:rPr>
          <w:rFonts w:ascii="Arial Narrow" w:hAnsi="Arial Narrow" w:cs="Arial"/>
          <w:b w:val="0"/>
          <w:sz w:val="16"/>
          <w:szCs w:val="16"/>
          <w:lang w:val="nl-NL"/>
        </w:rPr>
        <w:t xml:space="preserve">: </w:t>
      </w:r>
      <w:r w:rsidRPr="00805480">
        <w:rPr>
          <w:rFonts w:ascii="Arial Narrow" w:hAnsi="Arial Narrow"/>
          <w:b w:val="0"/>
          <w:color w:val="auto"/>
          <w:sz w:val="16"/>
          <w:szCs w:val="16"/>
          <w:lang w:val="nl-NL"/>
        </w:rPr>
        <w:t>Digitaal Handboek Regionale Verankering, HAN | Kenniscentrum kwaliteit van leren</w:t>
      </w:r>
      <w:r w:rsidRPr="00805480">
        <w:rPr>
          <w:rFonts w:ascii="Arial Narrow" w:hAnsi="Arial Narrow"/>
          <w:b w:val="0"/>
          <w:color w:val="auto"/>
          <w:sz w:val="16"/>
          <w:szCs w:val="16"/>
          <w:lang w:val="nl-NL"/>
        </w:rPr>
        <w:br/>
        <w:t>Aimée Hoeve, Femke Timmermans, Loek Nieuwenhuis, Derk-Jan Nijman m.m.v. Woody Maijers, Gonneke Leereveld</w:t>
      </w:r>
    </w:p>
    <w:p w14:paraId="6EF18477" w14:textId="26332726" w:rsidR="00A64234" w:rsidRPr="00A64234" w:rsidRDefault="00A64234" w:rsidP="00A64234">
      <w:pPr>
        <w:rPr>
          <w:lang w:val="nl-NL"/>
        </w:rPr>
      </w:pPr>
    </w:p>
    <w:sectPr w:rsidR="00A64234" w:rsidRPr="00A64234" w:rsidSect="005A6D1B">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F446" w14:textId="77777777" w:rsidR="005A6D1B" w:rsidRDefault="005A6D1B" w:rsidP="005A6D1B">
      <w:pPr>
        <w:spacing w:after="0" w:line="240" w:lineRule="auto"/>
      </w:pPr>
      <w:r>
        <w:separator/>
      </w:r>
    </w:p>
  </w:endnote>
  <w:endnote w:type="continuationSeparator" w:id="0">
    <w:p w14:paraId="4CED93EA" w14:textId="77777777" w:rsidR="005A6D1B" w:rsidRDefault="005A6D1B" w:rsidP="005A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8CC4" w14:textId="77777777" w:rsidR="005A6D1B" w:rsidRPr="005A6D1B" w:rsidRDefault="005A6D1B" w:rsidP="005A6D1B">
    <w:pPr>
      <w:pStyle w:val="Sidfot"/>
      <w:tabs>
        <w:tab w:val="left" w:pos="6840"/>
      </w:tabs>
      <w:rPr>
        <w:rFonts w:cs="Arial"/>
        <w:sz w:val="16"/>
        <w:szCs w:val="16"/>
        <w:lang w:val="en-US"/>
      </w:rPr>
    </w:pPr>
    <w:r w:rsidRPr="008827DE">
      <w:rPr>
        <w:rFonts w:cs="Arial"/>
        <w:sz w:val="16"/>
        <w:szCs w:val="16"/>
        <w:lang w:val="en-US"/>
      </w:rPr>
      <w:t>‘Peat Valley: repositio</w:t>
    </w:r>
    <w:r>
      <w:rPr>
        <w:rFonts w:cs="Arial"/>
        <w:sz w:val="16"/>
        <w:szCs w:val="16"/>
        <w:lang w:val="en-US"/>
      </w:rPr>
      <w:t>ning education in the region’</w:t>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Pr>
        <w:rFonts w:cs="Arial"/>
        <w:sz w:val="16"/>
        <w:szCs w:val="16"/>
        <w:lang w:val="en-US"/>
      </w:rPr>
      <w:tab/>
    </w:r>
    <w:r w:rsidRPr="008827DE">
      <w:rPr>
        <w:rFonts w:cs="Arial"/>
        <w:sz w:val="16"/>
        <w:szCs w:val="16"/>
        <w:lang w:val="en-US"/>
      </w:rPr>
      <w:t>2015-1-NL01-KA202-008979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3267" w14:textId="77777777" w:rsidR="005A6D1B" w:rsidRDefault="005A6D1B" w:rsidP="005A6D1B">
      <w:pPr>
        <w:spacing w:after="0" w:line="240" w:lineRule="auto"/>
      </w:pPr>
      <w:r>
        <w:separator/>
      </w:r>
    </w:p>
  </w:footnote>
  <w:footnote w:type="continuationSeparator" w:id="0">
    <w:p w14:paraId="677B9EBB" w14:textId="77777777" w:rsidR="005A6D1B" w:rsidRDefault="005A6D1B" w:rsidP="005A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6575" w14:textId="77777777" w:rsidR="00AE582B" w:rsidRDefault="00AE582B" w:rsidP="00AE582B">
    <w:pPr>
      <w:pBdr>
        <w:bottom w:val="single" w:sz="6" w:space="1" w:color="auto"/>
      </w:pBdr>
    </w:pPr>
    <w:r>
      <w:rPr>
        <w:noProof/>
      </w:rPr>
      <w:drawing>
        <wp:anchor distT="0" distB="0" distL="114300" distR="114300" simplePos="0" relativeHeight="251659264" behindDoc="0" locked="0" layoutInCell="1" allowOverlap="1" wp14:anchorId="36ED62E5" wp14:editId="4BF7BD2A">
          <wp:simplePos x="0" y="0"/>
          <wp:positionH relativeFrom="column">
            <wp:posOffset>4038600</wp:posOffset>
          </wp:positionH>
          <wp:positionV relativeFrom="topMargin">
            <wp:posOffset>781050</wp:posOffset>
          </wp:positionV>
          <wp:extent cx="1971675" cy="399415"/>
          <wp:effectExtent l="0" t="0" r="9525" b="635"/>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399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A20C327" wp14:editId="55EBB9A2">
          <wp:simplePos x="0" y="0"/>
          <wp:positionH relativeFrom="margin">
            <wp:align>right</wp:align>
          </wp:positionH>
          <wp:positionV relativeFrom="topMargin">
            <wp:posOffset>841375</wp:posOffset>
          </wp:positionV>
          <wp:extent cx="2086610" cy="287655"/>
          <wp:effectExtent l="0" t="0" r="889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2876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4F3D6F77" wp14:editId="02EA0C7D">
          <wp:extent cx="2238375" cy="638175"/>
          <wp:effectExtent l="0" t="0" r="9525" b="9525"/>
          <wp:docPr id="6" name="Bildobjekt 6" descr="erasm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rasmu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8375" cy="638175"/>
                  </a:xfrm>
                  <a:prstGeom prst="rect">
                    <a:avLst/>
                  </a:prstGeom>
                  <a:noFill/>
                  <a:ln>
                    <a:noFill/>
                  </a:ln>
                </pic:spPr>
              </pic:pic>
            </a:graphicData>
          </a:graphic>
        </wp:inline>
      </w:drawing>
    </w:r>
    <w:r>
      <w:rPr>
        <w:rFonts w:ascii="Arial" w:hAnsi="Arial" w:cs="Arial"/>
        <w:b/>
        <w:noProof/>
        <w:lang w:eastAsia="sv-SE"/>
      </w:rPr>
      <w:drawing>
        <wp:inline distT="0" distB="0" distL="0" distR="0" wp14:anchorId="67EDCC3C" wp14:editId="28C0F5D0">
          <wp:extent cx="828675" cy="819150"/>
          <wp:effectExtent l="0" t="0" r="9525" b="0"/>
          <wp:docPr id="9" name="Bildobjekt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r>
      <w:rPr>
        <w:noProof/>
        <w:lang w:eastAsia="sv-SE"/>
      </w:rPr>
      <w:drawing>
        <wp:inline distT="0" distB="0" distL="0" distR="0" wp14:anchorId="0DA2F925" wp14:editId="403CA5FB">
          <wp:extent cx="857250" cy="904875"/>
          <wp:effectExtent l="0" t="0" r="0"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14:paraId="0AF43E3F" w14:textId="71B86818" w:rsidR="005A6D1B" w:rsidRPr="00AE582B" w:rsidRDefault="005A6D1B" w:rsidP="00AE58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27AF"/>
    <w:multiLevelType w:val="hybridMultilevel"/>
    <w:tmpl w:val="60981862"/>
    <w:lvl w:ilvl="0" w:tplc="EA44C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2C092E"/>
    <w:multiLevelType w:val="hybridMultilevel"/>
    <w:tmpl w:val="A6C41E36"/>
    <w:lvl w:ilvl="0" w:tplc="817C0F2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1B"/>
    <w:rsid w:val="00024AF3"/>
    <w:rsid w:val="00167E38"/>
    <w:rsid w:val="00311B47"/>
    <w:rsid w:val="0059223F"/>
    <w:rsid w:val="005A6D1B"/>
    <w:rsid w:val="007758D7"/>
    <w:rsid w:val="007C4568"/>
    <w:rsid w:val="008037E8"/>
    <w:rsid w:val="00841B12"/>
    <w:rsid w:val="009874B8"/>
    <w:rsid w:val="00A07D12"/>
    <w:rsid w:val="00A150B1"/>
    <w:rsid w:val="00A64234"/>
    <w:rsid w:val="00A74435"/>
    <w:rsid w:val="00AE582B"/>
    <w:rsid w:val="00B870EB"/>
    <w:rsid w:val="00BB0C26"/>
    <w:rsid w:val="00DA7F81"/>
    <w:rsid w:val="00F04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BAAA"/>
  <w15:docId w15:val="{28D328E1-B2B7-4C18-BC97-EFAB2613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64234"/>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6D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6D1B"/>
  </w:style>
  <w:style w:type="paragraph" w:styleId="Sidfot">
    <w:name w:val="footer"/>
    <w:basedOn w:val="Normal"/>
    <w:link w:val="SidfotChar"/>
    <w:uiPriority w:val="99"/>
    <w:unhideWhenUsed/>
    <w:rsid w:val="005A6D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6D1B"/>
  </w:style>
  <w:style w:type="paragraph" w:styleId="Ingetavstnd">
    <w:name w:val="No Spacing"/>
    <w:aliases w:val="Gonneke,No Spacing1,Geen afstand1,Calibri,Gemiddeld raster 21,Ton Stok,Muis,No Spacing"/>
    <w:link w:val="IngetavstndChar"/>
    <w:uiPriority w:val="1"/>
    <w:qFormat/>
    <w:rsid w:val="005A6D1B"/>
    <w:pPr>
      <w:spacing w:after="0" w:line="240" w:lineRule="auto"/>
    </w:pPr>
    <w:rPr>
      <w:rFonts w:ascii="Arial" w:hAnsi="Arial"/>
      <w:sz w:val="20"/>
      <w:lang w:val="nl-NL"/>
    </w:rPr>
  </w:style>
  <w:style w:type="character" w:customStyle="1" w:styleId="IngetavstndChar">
    <w:name w:val="Inget avstånd Char"/>
    <w:aliases w:val="Gonneke Char,No Spacing1 Char,Geen afstand1 Char,Calibri Char,Gemiddeld raster 21 Char,Ton Stok Char,Muis Char,No Spacing Char"/>
    <w:basedOn w:val="Standardstycketeckensnitt"/>
    <w:link w:val="Ingetavstnd"/>
    <w:uiPriority w:val="1"/>
    <w:rsid w:val="005A6D1B"/>
    <w:rPr>
      <w:rFonts w:ascii="Arial" w:hAnsi="Arial"/>
      <w:sz w:val="20"/>
      <w:lang w:val="nl-NL"/>
    </w:rPr>
  </w:style>
  <w:style w:type="table" w:styleId="Tabellrutnt">
    <w:name w:val="Table Grid"/>
    <w:basedOn w:val="Normaltabell"/>
    <w:uiPriority w:val="39"/>
    <w:rsid w:val="005A6D1B"/>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5A6D1B"/>
    <w:pPr>
      <w:autoSpaceDE w:val="0"/>
      <w:autoSpaceDN w:val="0"/>
      <w:adjustRightInd w:val="0"/>
      <w:spacing w:after="0" w:line="240" w:lineRule="auto"/>
    </w:pPr>
    <w:rPr>
      <w:rFonts w:ascii="Times New Roman" w:hAnsi="Times New Roman" w:cs="Times New Roman"/>
      <w:sz w:val="24"/>
      <w:szCs w:val="24"/>
      <w:lang w:val="nl-BE"/>
    </w:rPr>
  </w:style>
  <w:style w:type="paragraph" w:styleId="Normalwebb">
    <w:name w:val="Normal (Web)"/>
    <w:basedOn w:val="Normal"/>
    <w:uiPriority w:val="99"/>
    <w:semiHidden/>
    <w:unhideWhenUsed/>
    <w:rsid w:val="005A6D1B"/>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Kommentarsreferens">
    <w:name w:val="annotation reference"/>
    <w:basedOn w:val="Standardstycketeckensnitt"/>
    <w:uiPriority w:val="99"/>
    <w:semiHidden/>
    <w:unhideWhenUsed/>
    <w:rsid w:val="005A6D1B"/>
    <w:rPr>
      <w:sz w:val="16"/>
      <w:szCs w:val="16"/>
    </w:rPr>
  </w:style>
  <w:style w:type="paragraph" w:styleId="Kommentarer">
    <w:name w:val="annotation text"/>
    <w:basedOn w:val="Normal"/>
    <w:link w:val="KommentarerChar"/>
    <w:uiPriority w:val="99"/>
    <w:semiHidden/>
    <w:unhideWhenUsed/>
    <w:rsid w:val="005A6D1B"/>
    <w:pPr>
      <w:spacing w:line="240" w:lineRule="auto"/>
    </w:pPr>
    <w:rPr>
      <w:sz w:val="20"/>
      <w:szCs w:val="20"/>
    </w:rPr>
  </w:style>
  <w:style w:type="character" w:customStyle="1" w:styleId="KommentarerChar">
    <w:name w:val="Kommentarer Char"/>
    <w:basedOn w:val="Standardstycketeckensnitt"/>
    <w:link w:val="Kommentarer"/>
    <w:uiPriority w:val="99"/>
    <w:semiHidden/>
    <w:rsid w:val="005A6D1B"/>
    <w:rPr>
      <w:sz w:val="20"/>
      <w:szCs w:val="20"/>
    </w:rPr>
  </w:style>
  <w:style w:type="paragraph" w:styleId="Kommentarsmne">
    <w:name w:val="annotation subject"/>
    <w:basedOn w:val="Kommentarer"/>
    <w:next w:val="Kommentarer"/>
    <w:link w:val="KommentarsmneChar"/>
    <w:uiPriority w:val="99"/>
    <w:semiHidden/>
    <w:unhideWhenUsed/>
    <w:rsid w:val="005A6D1B"/>
    <w:rPr>
      <w:b/>
      <w:bCs/>
    </w:rPr>
  </w:style>
  <w:style w:type="character" w:customStyle="1" w:styleId="KommentarsmneChar">
    <w:name w:val="Kommentarsämne Char"/>
    <w:basedOn w:val="KommentarerChar"/>
    <w:link w:val="Kommentarsmne"/>
    <w:uiPriority w:val="99"/>
    <w:semiHidden/>
    <w:rsid w:val="005A6D1B"/>
    <w:rPr>
      <w:b/>
      <w:bCs/>
      <w:sz w:val="20"/>
      <w:szCs w:val="20"/>
    </w:rPr>
  </w:style>
  <w:style w:type="paragraph" w:styleId="Ballongtext">
    <w:name w:val="Balloon Text"/>
    <w:basedOn w:val="Normal"/>
    <w:link w:val="BallongtextChar"/>
    <w:uiPriority w:val="99"/>
    <w:semiHidden/>
    <w:unhideWhenUsed/>
    <w:rsid w:val="005A6D1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6D1B"/>
    <w:rPr>
      <w:rFonts w:ascii="Segoe UI" w:hAnsi="Segoe UI" w:cs="Segoe UI"/>
      <w:sz w:val="18"/>
      <w:szCs w:val="18"/>
    </w:rPr>
  </w:style>
  <w:style w:type="character" w:customStyle="1" w:styleId="Rubrik1Char">
    <w:name w:val="Rubrik 1 Char"/>
    <w:basedOn w:val="Standardstycketeckensnitt"/>
    <w:link w:val="Rubrik1"/>
    <w:uiPriority w:val="9"/>
    <w:rsid w:val="00A64234"/>
    <w:rPr>
      <w:rFonts w:asciiTheme="majorHAnsi" w:eastAsiaTheme="majorEastAsia" w:hAnsiTheme="majorHAnsi" w:cstheme="majorBidi"/>
      <w:b/>
      <w:bCs/>
      <w:color w:val="2F5496"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3829">
      <w:bodyDiv w:val="1"/>
      <w:marLeft w:val="0"/>
      <w:marRight w:val="0"/>
      <w:marTop w:val="0"/>
      <w:marBottom w:val="0"/>
      <w:divBdr>
        <w:top w:val="none" w:sz="0" w:space="0" w:color="auto"/>
        <w:left w:val="none" w:sz="0" w:space="0" w:color="auto"/>
        <w:bottom w:val="none" w:sz="0" w:space="0" w:color="auto"/>
        <w:right w:val="none" w:sz="0" w:space="0" w:color="auto"/>
      </w:divBdr>
    </w:div>
    <w:div w:id="1325669169">
      <w:bodyDiv w:val="1"/>
      <w:marLeft w:val="0"/>
      <w:marRight w:val="0"/>
      <w:marTop w:val="0"/>
      <w:marBottom w:val="0"/>
      <w:divBdr>
        <w:top w:val="none" w:sz="0" w:space="0" w:color="auto"/>
        <w:left w:val="none" w:sz="0" w:space="0" w:color="auto"/>
        <w:bottom w:val="none" w:sz="0" w:space="0" w:color="auto"/>
        <w:right w:val="none" w:sz="0" w:space="0" w:color="auto"/>
      </w:divBdr>
    </w:div>
    <w:div w:id="1473522159">
      <w:bodyDiv w:val="1"/>
      <w:marLeft w:val="0"/>
      <w:marRight w:val="0"/>
      <w:marTop w:val="0"/>
      <w:marBottom w:val="0"/>
      <w:divBdr>
        <w:top w:val="none" w:sz="0" w:space="0" w:color="auto"/>
        <w:left w:val="none" w:sz="0" w:space="0" w:color="auto"/>
        <w:bottom w:val="none" w:sz="0" w:space="0" w:color="auto"/>
        <w:right w:val="none" w:sz="0" w:space="0" w:color="auto"/>
      </w:divBdr>
    </w:div>
    <w:div w:id="15849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image" Target="media/image6.png"/><Relationship Id="rId4"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vgregion.se\Hem\GOT-009\zoldc1\Mina%20dokument\Peat%20V+\IOs\IO_documentation\IO3.2_bar_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vgregion.se\Hem\GOT-009\zoldc1\Mina%20dokument\Peat%20V+\IOs\IO3.3%207S\BYS,%20Sweden%20-%20Kopia%20av%20Capacity%20scan%20diagram%20exa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Portfolio of Services at BYS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radarChart>
        <c:radarStyle val="marker"/>
        <c:varyColors val="0"/>
        <c:ser>
          <c:idx val="0"/>
          <c:order val="0"/>
          <c:tx>
            <c:strRef>
              <c:f>Blad1!$B$1</c:f>
              <c:strCache>
                <c:ptCount val="1"/>
                <c:pt idx="0">
                  <c:v>Present (Febr-2017)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Blad1!$A$2:$A$9</c:f>
              <c:strCache>
                <c:ptCount val="8"/>
                <c:pt idx="0">
                  <c:v>Labour Pool: enough qualified professionals / professionals</c:v>
                </c:pt>
                <c:pt idx="1">
                  <c:v>Temporary forces</c:v>
                </c:pt>
                <c:pt idx="2">
                  <c:v>Problem solving ability</c:v>
                </c:pt>
                <c:pt idx="3">
                  <c:v>Bringing in new knowledge</c:v>
                </c:pt>
                <c:pt idx="4">
                  <c:v>Facilitating learning networks</c:v>
                </c:pt>
                <c:pt idx="5">
                  <c:v>Extra training</c:v>
                </c:pt>
                <c:pt idx="6">
                  <c:v>Level up-training</c:v>
                </c:pt>
                <c:pt idx="7">
                  <c:v>Retraining</c:v>
                </c:pt>
              </c:strCache>
            </c:strRef>
          </c:cat>
          <c:val>
            <c:numRef>
              <c:f>Blad1!$B$2:$B$9</c:f>
              <c:numCache>
                <c:formatCode>General</c:formatCode>
                <c:ptCount val="8"/>
                <c:pt idx="0">
                  <c:v>2</c:v>
                </c:pt>
                <c:pt idx="1">
                  <c:v>3</c:v>
                </c:pt>
                <c:pt idx="2">
                  <c:v>10</c:v>
                </c:pt>
                <c:pt idx="3">
                  <c:v>4</c:v>
                </c:pt>
                <c:pt idx="4">
                  <c:v>2</c:v>
                </c:pt>
                <c:pt idx="5">
                  <c:v>2</c:v>
                </c:pt>
                <c:pt idx="6">
                  <c:v>1</c:v>
                </c:pt>
                <c:pt idx="7">
                  <c:v>6</c:v>
                </c:pt>
              </c:numCache>
            </c:numRef>
          </c:val>
          <c:extLst>
            <c:ext xmlns:c16="http://schemas.microsoft.com/office/drawing/2014/chart" uri="{C3380CC4-5D6E-409C-BE32-E72D297353CC}">
              <c16:uniqueId val="{00000000-A6F6-499F-A837-24989E48CA1B}"/>
            </c:ext>
          </c:extLst>
        </c:ser>
        <c:ser>
          <c:idx val="1"/>
          <c:order val="1"/>
          <c:tx>
            <c:strRef>
              <c:f>Blad1!$C$1</c:f>
              <c:strCache>
                <c:ptCount val="1"/>
                <c:pt idx="0">
                  <c:v>Desired (March-2018)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Blad1!$A$2:$A$9</c:f>
              <c:strCache>
                <c:ptCount val="8"/>
                <c:pt idx="0">
                  <c:v>Labour Pool: enough qualified professionals / professionals</c:v>
                </c:pt>
                <c:pt idx="1">
                  <c:v>Temporary forces</c:v>
                </c:pt>
                <c:pt idx="2">
                  <c:v>Problem solving ability</c:v>
                </c:pt>
                <c:pt idx="3">
                  <c:v>Bringing in new knowledge</c:v>
                </c:pt>
                <c:pt idx="4">
                  <c:v>Facilitating learning networks</c:v>
                </c:pt>
                <c:pt idx="5">
                  <c:v>Extra training</c:v>
                </c:pt>
                <c:pt idx="6">
                  <c:v>Level up-training</c:v>
                </c:pt>
                <c:pt idx="7">
                  <c:v>Retraining</c:v>
                </c:pt>
              </c:strCache>
            </c:strRef>
          </c:cat>
          <c:val>
            <c:numRef>
              <c:f>Blad1!$C$2:$C$9</c:f>
              <c:numCache>
                <c:formatCode>General</c:formatCode>
                <c:ptCount val="8"/>
                <c:pt idx="0">
                  <c:v>8</c:v>
                </c:pt>
                <c:pt idx="1">
                  <c:v>7</c:v>
                </c:pt>
                <c:pt idx="2">
                  <c:v>10</c:v>
                </c:pt>
                <c:pt idx="3">
                  <c:v>9</c:v>
                </c:pt>
                <c:pt idx="4">
                  <c:v>7</c:v>
                </c:pt>
                <c:pt idx="5">
                  <c:v>3</c:v>
                </c:pt>
                <c:pt idx="6">
                  <c:v>4</c:v>
                </c:pt>
                <c:pt idx="7">
                  <c:v>7</c:v>
                </c:pt>
              </c:numCache>
            </c:numRef>
          </c:val>
          <c:extLst>
            <c:ext xmlns:c16="http://schemas.microsoft.com/office/drawing/2014/chart" uri="{C3380CC4-5D6E-409C-BE32-E72D297353CC}">
              <c16:uniqueId val="{00000001-A6F6-499F-A837-24989E48CA1B}"/>
            </c:ext>
          </c:extLst>
        </c:ser>
        <c:dLbls>
          <c:showLegendKey val="0"/>
          <c:showVal val="0"/>
          <c:showCatName val="0"/>
          <c:showSerName val="0"/>
          <c:showPercent val="0"/>
          <c:showBubbleSize val="0"/>
        </c:dLbls>
        <c:axId val="65457536"/>
        <c:axId val="136684672"/>
      </c:radarChart>
      <c:catAx>
        <c:axId val="6545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6684672"/>
        <c:crosses val="autoZero"/>
        <c:auto val="1"/>
        <c:lblAlgn val="ctr"/>
        <c:lblOffset val="100"/>
        <c:noMultiLvlLbl val="0"/>
      </c:catAx>
      <c:valAx>
        <c:axId val="13668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4575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example!$B$3</c:f>
              <c:strCache>
                <c:ptCount val="1"/>
                <c:pt idx="0">
                  <c:v>How much attention
are you spending currently
 on this field</c:v>
                </c:pt>
              </c:strCache>
            </c:strRef>
          </c:tx>
          <c:cat>
            <c:strRef>
              <c:f>example!$A$4:$A$10</c:f>
              <c:strCache>
                <c:ptCount val="7"/>
                <c:pt idx="0">
                  <c:v>S1. Common values (shared values)</c:v>
                </c:pt>
                <c:pt idx="1">
                  <c:v>S2. Strategy</c:v>
                </c:pt>
                <c:pt idx="2">
                  <c:v>S3. Structure</c:v>
                </c:pt>
                <c:pt idx="3">
                  <c:v>S4. Systems and routines</c:v>
                </c:pt>
                <c:pt idx="4">
                  <c:v>S5. Style</c:v>
                </c:pt>
                <c:pt idx="5">
                  <c:v>S6. Staff</c:v>
                </c:pt>
                <c:pt idx="6">
                  <c:v>S7. Key skills (skills)</c:v>
                </c:pt>
              </c:strCache>
            </c:strRef>
          </c:cat>
          <c:val>
            <c:numRef>
              <c:f>example!$B$4:$B$10</c:f>
              <c:numCache>
                <c:formatCode>General</c:formatCode>
                <c:ptCount val="7"/>
                <c:pt idx="0">
                  <c:v>4</c:v>
                </c:pt>
                <c:pt idx="1">
                  <c:v>3</c:v>
                </c:pt>
                <c:pt idx="2">
                  <c:v>3</c:v>
                </c:pt>
                <c:pt idx="3">
                  <c:v>5</c:v>
                </c:pt>
                <c:pt idx="4">
                  <c:v>4</c:v>
                </c:pt>
                <c:pt idx="5">
                  <c:v>4</c:v>
                </c:pt>
                <c:pt idx="6">
                  <c:v>4</c:v>
                </c:pt>
              </c:numCache>
            </c:numRef>
          </c:val>
          <c:extLst>
            <c:ext xmlns:c16="http://schemas.microsoft.com/office/drawing/2014/chart" uri="{C3380CC4-5D6E-409C-BE32-E72D297353CC}">
              <c16:uniqueId val="{00000000-7E2A-4388-8F72-13E0295F5602}"/>
            </c:ext>
          </c:extLst>
        </c:ser>
        <c:ser>
          <c:idx val="1"/>
          <c:order val="1"/>
          <c:tx>
            <c:strRef>
              <c:f>example!$C$3</c:f>
              <c:strCache>
                <c:ptCount val="1"/>
                <c:pt idx="0">
                  <c:v>How much attention
does this field need next
year to achieve the 
desired repositioning</c:v>
                </c:pt>
              </c:strCache>
            </c:strRef>
          </c:tx>
          <c:cat>
            <c:strRef>
              <c:f>example!$A$4:$A$10</c:f>
              <c:strCache>
                <c:ptCount val="7"/>
                <c:pt idx="0">
                  <c:v>S1. Common values (shared values)</c:v>
                </c:pt>
                <c:pt idx="1">
                  <c:v>S2. Strategy</c:v>
                </c:pt>
                <c:pt idx="2">
                  <c:v>S3. Structure</c:v>
                </c:pt>
                <c:pt idx="3">
                  <c:v>S4. Systems and routines</c:v>
                </c:pt>
                <c:pt idx="4">
                  <c:v>S5. Style</c:v>
                </c:pt>
                <c:pt idx="5">
                  <c:v>S6. Staff</c:v>
                </c:pt>
                <c:pt idx="6">
                  <c:v>S7. Key skills (skills)</c:v>
                </c:pt>
              </c:strCache>
            </c:strRef>
          </c:cat>
          <c:val>
            <c:numRef>
              <c:f>example!$C$4:$C$10</c:f>
              <c:numCache>
                <c:formatCode>General</c:formatCode>
                <c:ptCount val="7"/>
                <c:pt idx="0">
                  <c:v>5</c:v>
                </c:pt>
                <c:pt idx="1">
                  <c:v>5</c:v>
                </c:pt>
                <c:pt idx="2">
                  <c:v>5</c:v>
                </c:pt>
                <c:pt idx="3">
                  <c:v>5</c:v>
                </c:pt>
                <c:pt idx="4">
                  <c:v>5</c:v>
                </c:pt>
                <c:pt idx="5">
                  <c:v>5</c:v>
                </c:pt>
                <c:pt idx="6">
                  <c:v>5</c:v>
                </c:pt>
              </c:numCache>
            </c:numRef>
          </c:val>
          <c:extLst>
            <c:ext xmlns:c16="http://schemas.microsoft.com/office/drawing/2014/chart" uri="{C3380CC4-5D6E-409C-BE32-E72D297353CC}">
              <c16:uniqueId val="{00000001-7E2A-4388-8F72-13E0295F5602}"/>
            </c:ext>
          </c:extLst>
        </c:ser>
        <c:dLbls>
          <c:showLegendKey val="0"/>
          <c:showVal val="0"/>
          <c:showCatName val="0"/>
          <c:showSerName val="0"/>
          <c:showPercent val="0"/>
          <c:showBubbleSize val="0"/>
        </c:dLbls>
        <c:axId val="144552320"/>
        <c:axId val="144554624"/>
      </c:radarChart>
      <c:catAx>
        <c:axId val="144552320"/>
        <c:scaling>
          <c:orientation val="minMax"/>
        </c:scaling>
        <c:delete val="0"/>
        <c:axPos val="b"/>
        <c:majorGridlines/>
        <c:numFmt formatCode="General" sourceLinked="0"/>
        <c:majorTickMark val="out"/>
        <c:minorTickMark val="none"/>
        <c:tickLblPos val="nextTo"/>
        <c:crossAx val="144554624"/>
        <c:crosses val="autoZero"/>
        <c:auto val="1"/>
        <c:lblAlgn val="ctr"/>
        <c:lblOffset val="100"/>
        <c:noMultiLvlLbl val="0"/>
      </c:catAx>
      <c:valAx>
        <c:axId val="144554624"/>
        <c:scaling>
          <c:orientation val="minMax"/>
        </c:scaling>
        <c:delete val="0"/>
        <c:axPos val="l"/>
        <c:majorGridlines/>
        <c:numFmt formatCode="General" sourceLinked="1"/>
        <c:majorTickMark val="cross"/>
        <c:minorTickMark val="none"/>
        <c:tickLblPos val="nextTo"/>
        <c:crossAx val="144552320"/>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D4B7EC9A</Template>
  <TotalTime>111</TotalTime>
  <Pages>4</Pages>
  <Words>741</Words>
  <Characters>3930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Dóczi</dc:creator>
  <cp:keywords/>
  <dc:description/>
  <cp:lastModifiedBy>Zoltán Dóczi</cp:lastModifiedBy>
  <cp:revision>13</cp:revision>
  <dcterms:created xsi:type="dcterms:W3CDTF">2018-04-14T08:41:00Z</dcterms:created>
  <dcterms:modified xsi:type="dcterms:W3CDTF">2018-04-25T11:22:00Z</dcterms:modified>
</cp:coreProperties>
</file>